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F649" w14:textId="77777777" w:rsidR="00406866" w:rsidRDefault="00851D4A" w:rsidP="00D13CCC">
      <w:pPr>
        <w:spacing w:before="0" w:after="0" w:line="276" w:lineRule="auto"/>
        <w:ind w:left="5795" w:hanging="902"/>
        <w:jc w:val="left"/>
        <w:rPr>
          <w:rtl/>
        </w:rPr>
      </w:pPr>
      <w:r w:rsidRPr="00963945">
        <w:rPr>
          <w:rFonts w:hint="cs"/>
          <w:rtl/>
        </w:rPr>
        <w:t>ירושלים,</w:t>
      </w:r>
      <w:r w:rsidRPr="00963945">
        <w:rPr>
          <w:rFonts w:hint="cs"/>
          <w:rtl/>
        </w:rPr>
        <w:tab/>
      </w:r>
      <w:bookmarkStart w:id="0" w:name="Adding02"/>
      <w:bookmarkEnd w:id="0"/>
      <w:r w:rsidR="00406866">
        <w:rPr>
          <w:rFonts w:hint="eastAsia"/>
          <w:rtl/>
        </w:rPr>
        <w:t>ט</w:t>
      </w:r>
      <w:r w:rsidR="00406866">
        <w:rPr>
          <w:rtl/>
        </w:rPr>
        <w:t xml:space="preserve">"ז בטבת </w:t>
      </w:r>
      <w:proofErr w:type="spellStart"/>
      <w:r w:rsidR="00406866">
        <w:rPr>
          <w:rtl/>
        </w:rPr>
        <w:t>התשפ"ו</w:t>
      </w:r>
      <w:proofErr w:type="spellEnd"/>
      <w:r w:rsidR="00406866">
        <w:rPr>
          <w:rtl/>
        </w:rPr>
        <w:br/>
        <w:t>5 בינואר 2026</w:t>
      </w:r>
    </w:p>
    <w:p w14:paraId="45AF317A" w14:textId="77777777" w:rsidR="00406866" w:rsidRDefault="00406866" w:rsidP="00D13CCC">
      <w:pPr>
        <w:spacing w:before="0" w:after="0" w:line="276" w:lineRule="auto"/>
        <w:ind w:left="5795"/>
        <w:jc w:val="left"/>
        <w:rPr>
          <w:rtl/>
        </w:rPr>
      </w:pPr>
      <w:bookmarkStart w:id="1" w:name="Adding01"/>
      <w:bookmarkEnd w:id="1"/>
      <w:r>
        <w:rPr>
          <w:rFonts w:hint="eastAsia"/>
          <w:rtl/>
        </w:rPr>
        <w:t>חוזר</w:t>
      </w:r>
      <w:r>
        <w:rPr>
          <w:rtl/>
        </w:rPr>
        <w:t xml:space="preserve"> </w:t>
      </w:r>
      <w:proofErr w:type="spellStart"/>
      <w:r>
        <w:rPr>
          <w:rtl/>
        </w:rPr>
        <w:t>הע</w:t>
      </w:r>
      <w:proofErr w:type="spellEnd"/>
      <w:r>
        <w:rPr>
          <w:rtl/>
        </w:rPr>
        <w:t xml:space="preserve"> - כללי הוראות</w:t>
      </w:r>
      <w:r>
        <w:rPr>
          <w:rtl/>
        </w:rPr>
        <w:br/>
        <w:t>2026-1-3</w:t>
      </w:r>
    </w:p>
    <w:p w14:paraId="73EFB972" w14:textId="77777777" w:rsidR="00851D4A" w:rsidRDefault="00851D4A" w:rsidP="00851D4A">
      <w:pPr>
        <w:rPr>
          <w:rtl/>
        </w:rPr>
      </w:pPr>
    </w:p>
    <w:p w14:paraId="4EAA3FE7" w14:textId="748BC433" w:rsidR="00851D4A" w:rsidRDefault="00B144D4" w:rsidP="00851D4A">
      <w:pPr>
        <w:rPr>
          <w:rtl/>
        </w:rPr>
      </w:pPr>
      <w:r>
        <w:rPr>
          <w:rFonts w:hint="cs"/>
          <w:rtl/>
        </w:rPr>
        <w:t>לכבוד</w:t>
      </w:r>
    </w:p>
    <w:p w14:paraId="74625390" w14:textId="77777777" w:rsidR="00851D4A" w:rsidRPr="00963945" w:rsidRDefault="00851D4A" w:rsidP="00B144D4">
      <w:pPr>
        <w:rPr>
          <w:rtl/>
        </w:rPr>
      </w:pPr>
      <w:r>
        <w:rPr>
          <w:rFonts w:hint="cs"/>
          <w:rtl/>
        </w:rPr>
        <w:t>המעסיקים במגזר הציבורי</w:t>
      </w:r>
    </w:p>
    <w:p w14:paraId="7B2CA28F" w14:textId="77777777" w:rsidR="00851D4A" w:rsidRPr="00963945" w:rsidRDefault="00851D4A" w:rsidP="00851D4A">
      <w:pPr>
        <w:tabs>
          <w:tab w:val="left" w:pos="3486"/>
          <w:tab w:val="left" w:pos="5896"/>
        </w:tabs>
        <w:rPr>
          <w:rtl/>
        </w:rPr>
      </w:pPr>
    </w:p>
    <w:p w14:paraId="7A6553D6" w14:textId="65166313" w:rsidR="00851D4A" w:rsidRPr="00963945" w:rsidRDefault="00851D4A" w:rsidP="00B144D4">
      <w:pPr>
        <w:tabs>
          <w:tab w:val="left" w:pos="753"/>
        </w:tabs>
        <w:spacing w:after="0"/>
        <w:ind w:left="651" w:hanging="651"/>
        <w:jc w:val="center"/>
        <w:rPr>
          <w:b/>
          <w:bCs/>
          <w:u w:val="single"/>
          <w:rtl/>
        </w:rPr>
      </w:pPr>
      <w:r w:rsidRPr="00963945">
        <w:rPr>
          <w:rFonts w:hint="cs"/>
          <w:rtl/>
        </w:rPr>
        <w:t>הנדון :</w:t>
      </w:r>
      <w:r w:rsidRPr="00963945">
        <w:rPr>
          <w:rtl/>
        </w:rPr>
        <w:tab/>
      </w:r>
      <w:bookmarkStart w:id="2" w:name="About"/>
      <w:bookmarkEnd w:id="2"/>
      <w:r w:rsidR="00406866">
        <w:rPr>
          <w:b/>
          <w:bCs/>
          <w:u w:val="single"/>
          <w:rtl/>
        </w:rPr>
        <w:t>הוראות בעניין עובדים שנעדרו מעבודתם בהתאם להוראות פיקוד העורף בתקופה שמיום 01.12.2023 ועד ליום 30.06.2025</w:t>
      </w:r>
    </w:p>
    <w:p w14:paraId="1C4E3DBE" w14:textId="69AB02D9" w:rsidR="00851D4A" w:rsidRPr="00B144D4" w:rsidRDefault="00406866" w:rsidP="00B144D4">
      <w:pPr>
        <w:spacing w:before="0" w:line="276" w:lineRule="auto"/>
        <w:ind w:left="651"/>
        <w:jc w:val="center"/>
        <w:rPr>
          <w:sz w:val="20"/>
          <w:szCs w:val="22"/>
          <w:rtl/>
        </w:rPr>
      </w:pPr>
      <w:bookmarkStart w:id="3" w:name="reference"/>
      <w:bookmarkEnd w:id="3"/>
      <w:r>
        <w:rPr>
          <w:sz w:val="20"/>
          <w:szCs w:val="22"/>
          <w:rtl/>
        </w:rPr>
        <w:t>חוזר הממונה על השכר בעניין "הוראות בעניין עובדים שנעדרו מעבודתם בהתאם להוראות פיקוד העורף בתקופה שמיום 01.12.2023 ועד ליום 30.06.2025"  מיום 31.12.2025</w:t>
      </w:r>
    </w:p>
    <w:p w14:paraId="00A36563" w14:textId="77777777" w:rsidR="00851D4A" w:rsidRDefault="00851D4A" w:rsidP="00851D4A">
      <w:pPr>
        <w:rPr>
          <w:rtl/>
        </w:rPr>
      </w:pPr>
      <w:bookmarkStart w:id="4" w:name="start"/>
      <w:bookmarkEnd w:id="4"/>
    </w:p>
    <w:p w14:paraId="59EE01C5" w14:textId="77777777" w:rsidR="00B144D4" w:rsidRDefault="00B144D4" w:rsidP="00B144D4">
      <w:pPr>
        <w:spacing w:before="0" w:after="160" w:line="259" w:lineRule="auto"/>
        <w:rPr>
          <w:rFonts w:ascii="FrankRuehl" w:hAnsi="FrankRuehl"/>
          <w:sz w:val="26"/>
          <w:rtl/>
        </w:rPr>
      </w:pPr>
      <w:r>
        <w:rPr>
          <w:rFonts w:ascii="FrankRuehl" w:hAnsi="FrankRuehl" w:hint="cs"/>
          <w:sz w:val="26"/>
          <w:rtl/>
        </w:rPr>
        <w:t>ביום 31.12.2025 פורסם החוזר שבסימוכין בנוגע לעובדים המועסקים בשירות המדינה.</w:t>
      </w:r>
    </w:p>
    <w:p w14:paraId="1AC6C447" w14:textId="77777777" w:rsidR="00B144D4" w:rsidRDefault="00B144D4" w:rsidP="00B144D4">
      <w:pPr>
        <w:spacing w:before="0" w:after="160" w:line="259" w:lineRule="auto"/>
        <w:rPr>
          <w:rFonts w:asciiTheme="minorBidi" w:hAnsiTheme="minorBidi"/>
          <w:sz w:val="26"/>
          <w:rtl/>
        </w:rPr>
      </w:pPr>
      <w:r w:rsidRPr="00730EED">
        <w:rPr>
          <w:rFonts w:ascii="FrankRuehl" w:hAnsi="FrankRuehl"/>
          <w:sz w:val="26"/>
          <w:rtl/>
        </w:rPr>
        <w:t>בהתאם לסמכותי לפי סעיף 29 לחוק יסודות התקציב, התשמ"ה</w:t>
      </w:r>
      <w:r>
        <w:rPr>
          <w:rFonts w:ascii="FrankRuehl" w:hAnsi="FrankRuehl" w:hint="cs"/>
          <w:sz w:val="26"/>
          <w:rtl/>
        </w:rPr>
        <w:t>-</w:t>
      </w:r>
      <w:r w:rsidRPr="00730EED">
        <w:rPr>
          <w:rFonts w:ascii="FrankRuehl" w:hAnsi="FrankRuehl"/>
          <w:sz w:val="26"/>
          <w:rtl/>
        </w:rPr>
        <w:t>1985</w:t>
      </w:r>
      <w:r>
        <w:rPr>
          <w:rFonts w:ascii="FrankRuehl" w:hAnsi="FrankRuehl" w:hint="cs"/>
          <w:sz w:val="26"/>
          <w:rtl/>
        </w:rPr>
        <w:t xml:space="preserve"> (להלן: "</w:t>
      </w:r>
      <w:r w:rsidRPr="00730EED">
        <w:rPr>
          <w:rFonts w:ascii="FrankRuehl" w:hAnsi="FrankRuehl" w:hint="eastAsia"/>
          <w:b/>
          <w:bCs/>
          <w:sz w:val="26"/>
          <w:rtl/>
        </w:rPr>
        <w:t>חוק</w:t>
      </w:r>
      <w:r w:rsidRPr="00730EED">
        <w:rPr>
          <w:rFonts w:ascii="FrankRuehl" w:hAnsi="FrankRuehl"/>
          <w:b/>
          <w:bCs/>
          <w:sz w:val="26"/>
          <w:rtl/>
        </w:rPr>
        <w:t xml:space="preserve"> </w:t>
      </w:r>
      <w:r w:rsidRPr="00730EED">
        <w:rPr>
          <w:rFonts w:ascii="FrankRuehl" w:hAnsi="FrankRuehl" w:hint="eastAsia"/>
          <w:b/>
          <w:bCs/>
          <w:sz w:val="26"/>
          <w:rtl/>
        </w:rPr>
        <w:t>יסודות</w:t>
      </w:r>
      <w:r w:rsidRPr="00730EED">
        <w:rPr>
          <w:rFonts w:ascii="FrankRuehl" w:hAnsi="FrankRuehl"/>
          <w:b/>
          <w:bCs/>
          <w:sz w:val="26"/>
          <w:rtl/>
        </w:rPr>
        <w:t xml:space="preserve"> </w:t>
      </w:r>
      <w:r w:rsidRPr="00730EED">
        <w:rPr>
          <w:rFonts w:ascii="FrankRuehl" w:hAnsi="FrankRuehl" w:hint="eastAsia"/>
          <w:b/>
          <w:bCs/>
          <w:sz w:val="26"/>
          <w:rtl/>
        </w:rPr>
        <w:t>התקציב</w:t>
      </w:r>
      <w:r>
        <w:rPr>
          <w:rFonts w:ascii="FrankRuehl" w:hAnsi="FrankRuehl" w:hint="cs"/>
          <w:sz w:val="26"/>
          <w:rtl/>
        </w:rPr>
        <w:t>")</w:t>
      </w:r>
      <w:r w:rsidRPr="00730EED">
        <w:rPr>
          <w:rFonts w:ascii="FrankRuehl" w:hAnsi="FrankRuehl"/>
          <w:sz w:val="26"/>
          <w:rtl/>
        </w:rPr>
        <w:t>, הריני לאשר</w:t>
      </w:r>
      <w:r>
        <w:rPr>
          <w:rFonts w:asciiTheme="minorBidi" w:hAnsiTheme="minorBidi" w:hint="cs"/>
          <w:sz w:val="26"/>
          <w:rtl/>
        </w:rPr>
        <w:t xml:space="preserve"> לגוף מתוקצב או נתמך, כהגדרתו בחוק יסודות התקציב (להלן: "</w:t>
      </w:r>
      <w:r w:rsidRPr="00730EED">
        <w:rPr>
          <w:rFonts w:asciiTheme="minorBidi" w:hAnsiTheme="minorBidi" w:hint="eastAsia"/>
          <w:b/>
          <w:bCs/>
          <w:sz w:val="26"/>
          <w:rtl/>
        </w:rPr>
        <w:t>מעסיקי</w:t>
      </w:r>
      <w:r>
        <w:rPr>
          <w:rFonts w:asciiTheme="minorBidi" w:hAnsiTheme="minorBidi" w:hint="cs"/>
          <w:b/>
          <w:bCs/>
          <w:sz w:val="26"/>
          <w:rtl/>
        </w:rPr>
        <w:t>ם</w:t>
      </w:r>
      <w:r w:rsidRPr="00730EED">
        <w:rPr>
          <w:rFonts w:asciiTheme="minorBidi" w:hAnsiTheme="minorBidi"/>
          <w:b/>
          <w:bCs/>
          <w:sz w:val="26"/>
          <w:rtl/>
        </w:rPr>
        <w:t xml:space="preserve"> ציבוריים</w:t>
      </w:r>
      <w:r>
        <w:rPr>
          <w:rFonts w:asciiTheme="minorBidi" w:hAnsiTheme="minorBidi" w:hint="cs"/>
          <w:sz w:val="26"/>
          <w:rtl/>
        </w:rPr>
        <w:t xml:space="preserve">") להחיל את הנחיות חוזרי שבסימוכין כמכלול, </w:t>
      </w:r>
      <w:proofErr w:type="spellStart"/>
      <w:r>
        <w:rPr>
          <w:rFonts w:asciiTheme="minorBidi" w:hAnsiTheme="minorBidi" w:hint="cs"/>
          <w:sz w:val="26"/>
          <w:rtl/>
        </w:rPr>
        <w:t>הכל</w:t>
      </w:r>
      <w:proofErr w:type="spellEnd"/>
      <w:r>
        <w:rPr>
          <w:rFonts w:asciiTheme="minorBidi" w:hAnsiTheme="minorBidi" w:hint="cs"/>
          <w:sz w:val="26"/>
          <w:rtl/>
        </w:rPr>
        <w:t xml:space="preserve"> כמפורט שם.  </w:t>
      </w:r>
    </w:p>
    <w:p w14:paraId="566485DF" w14:textId="77777777" w:rsidR="00B144D4" w:rsidRDefault="00B144D4" w:rsidP="00B144D4">
      <w:pPr>
        <w:spacing w:before="0" w:after="160" w:line="259" w:lineRule="auto"/>
        <w:rPr>
          <w:rFonts w:asciiTheme="minorBidi" w:hAnsiTheme="minorBidi"/>
          <w:sz w:val="26"/>
          <w:rtl/>
        </w:rPr>
      </w:pPr>
      <w:r>
        <w:rPr>
          <w:rFonts w:asciiTheme="minorBidi" w:hAnsiTheme="minorBidi" w:hint="cs"/>
          <w:sz w:val="26"/>
          <w:rtl/>
        </w:rPr>
        <w:t xml:space="preserve">למען הסר ספק, אין באישור זה כדי לאשר שכר, תנאי עבודה או הטבות כלשהם שאינם מכוח חוזרי שבסימוכין, אלא מכוח הסכמים, הסדרים, הסמכות, נהלים, נוהגים, כללים, החלטות </w:t>
      </w:r>
      <w:proofErr w:type="spellStart"/>
      <w:r>
        <w:rPr>
          <w:rFonts w:asciiTheme="minorBidi" w:hAnsiTheme="minorBidi" w:hint="cs"/>
          <w:sz w:val="26"/>
          <w:rtl/>
        </w:rPr>
        <w:t>וכיוצ"ב</w:t>
      </w:r>
      <w:proofErr w:type="spellEnd"/>
      <w:r>
        <w:rPr>
          <w:rFonts w:asciiTheme="minorBidi" w:hAnsiTheme="minorBidi" w:hint="cs"/>
          <w:sz w:val="26"/>
          <w:rtl/>
        </w:rPr>
        <w:t xml:space="preserve"> שהיו קיימים אצל מי מהמעסיקים הציבוריים עובר למועד אישורי זה, אף אם נהגו בפועל בעניינו של עובד או קבוצת עובדים, בין אם הם היו מוזכרים בחוזרי שבסימוכין ובין אם לאו, ככל שאלו אינם עולים בקנה אחד עם הוראות סעיף 29 לחוק יסודות התקציב, לרבות, אך לא רק, הסכם קיבוצי או הסדר אחר כמפורט בסעיף 3(ב) לחוזרי שבסימוכין.</w:t>
      </w:r>
    </w:p>
    <w:p w14:paraId="177545C2" w14:textId="77777777" w:rsidR="00851D4A" w:rsidRPr="00963945" w:rsidRDefault="00851D4A" w:rsidP="00851D4A">
      <w:pPr>
        <w:rPr>
          <w:rtl/>
        </w:rPr>
      </w:pPr>
    </w:p>
    <w:p w14:paraId="0901DF33" w14:textId="77777777" w:rsidR="00D13CCC" w:rsidRPr="00963945" w:rsidRDefault="00D13CCC" w:rsidP="00D13CCC">
      <w:pPr>
        <w:rPr>
          <w:rtl/>
        </w:rPr>
      </w:pPr>
    </w:p>
    <w:p w14:paraId="27DC5D97" w14:textId="77777777" w:rsidR="00D13CCC" w:rsidRDefault="00D13CCC" w:rsidP="00D13CCC">
      <w:pPr>
        <w:tabs>
          <w:tab w:val="center" w:pos="3918"/>
          <w:tab w:val="center" w:pos="5619"/>
        </w:tabs>
        <w:rPr>
          <w:rtl/>
        </w:rPr>
      </w:pPr>
      <w:r>
        <w:rPr>
          <w:rFonts w:hint="cs"/>
          <w:rtl/>
        </w:rPr>
        <w:tab/>
      </w:r>
      <w:r>
        <w:rPr>
          <w:rFonts w:hint="cs"/>
          <w:rtl/>
        </w:rPr>
        <w:tab/>
        <w:t>בברכה,</w:t>
      </w:r>
    </w:p>
    <w:p w14:paraId="4BFF3293" w14:textId="77777777" w:rsidR="00D13CCC" w:rsidRDefault="00D13CCC" w:rsidP="00D13CCC">
      <w:pPr>
        <w:tabs>
          <w:tab w:val="center" w:pos="3918"/>
          <w:tab w:val="center" w:pos="5619"/>
        </w:tabs>
        <w:rPr>
          <w:rtl/>
        </w:rPr>
      </w:pPr>
    </w:p>
    <w:p w14:paraId="184402E4" w14:textId="3908F382" w:rsidR="00D13CCC" w:rsidRDefault="00D13CCC" w:rsidP="00D13CCC">
      <w:pPr>
        <w:tabs>
          <w:tab w:val="center" w:pos="3918"/>
          <w:tab w:val="center" w:pos="5619"/>
        </w:tabs>
        <w:rPr>
          <w:rtl/>
        </w:rPr>
      </w:pPr>
      <w:r>
        <w:rPr>
          <w:rFonts w:hint="cs"/>
          <w:rtl/>
        </w:rPr>
        <w:tab/>
      </w:r>
      <w:r>
        <w:rPr>
          <w:rFonts w:hint="cs"/>
          <w:rtl/>
        </w:rPr>
        <w:tab/>
      </w:r>
      <w:r w:rsidR="00B144D4">
        <w:rPr>
          <w:rFonts w:hint="cs"/>
          <w:rtl/>
        </w:rPr>
        <w:t>אפי מלכין</w:t>
      </w:r>
    </w:p>
    <w:p w14:paraId="042F9995" w14:textId="77777777" w:rsidR="00D13CCC" w:rsidRPr="00963945" w:rsidRDefault="00D13CCC" w:rsidP="00D13CCC">
      <w:pPr>
        <w:tabs>
          <w:tab w:val="center" w:pos="3918"/>
          <w:tab w:val="center" w:pos="5619"/>
        </w:tabs>
        <w:rPr>
          <w:rtl/>
        </w:rPr>
      </w:pPr>
      <w:r>
        <w:rPr>
          <w:rFonts w:hint="cs"/>
          <w:rtl/>
        </w:rPr>
        <w:tab/>
      </w:r>
      <w:r>
        <w:rPr>
          <w:rFonts w:hint="cs"/>
          <w:rtl/>
        </w:rPr>
        <w:tab/>
        <w:t>הממונה על השכר והסכמי עבודה</w:t>
      </w:r>
    </w:p>
    <w:p w14:paraId="312397CF" w14:textId="77777777" w:rsidR="00EB73B6" w:rsidRDefault="00EB73B6" w:rsidP="00D13CCC">
      <w:pPr>
        <w:spacing w:before="0" w:after="0" w:line="276" w:lineRule="auto"/>
        <w:rPr>
          <w:rtl/>
        </w:rPr>
      </w:pPr>
    </w:p>
    <w:sectPr w:rsidR="00EB73B6" w:rsidSect="00851D4A">
      <w:headerReference w:type="default" r:id="rId8"/>
      <w:footerReference w:type="default" r:id="rId9"/>
      <w:pgSz w:w="11906" w:h="16838"/>
      <w:pgMar w:top="2410" w:right="1800" w:bottom="1440" w:left="1800" w:header="708"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A23C" w14:textId="77777777" w:rsidR="000F388D" w:rsidRDefault="000F388D" w:rsidP="00B8755D">
      <w:pPr>
        <w:spacing w:before="0" w:after="0" w:line="240" w:lineRule="auto"/>
      </w:pPr>
      <w:r>
        <w:separator/>
      </w:r>
    </w:p>
  </w:endnote>
  <w:endnote w:type="continuationSeparator" w:id="0">
    <w:p w14:paraId="2C8051B9" w14:textId="77777777" w:rsidR="000F388D" w:rsidRDefault="000F388D" w:rsidP="00B875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altName w:val="FrankRuehl"/>
    <w:panose1 w:val="020E050306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pPr w:leftFromText="180" w:rightFromText="180" w:vertAnchor="text" w:horzAnchor="margin" w:tblpXSpec="center" w:tblpY="-249"/>
      <w:tblOverlap w:val="never"/>
      <w:bidiVisual/>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3" w:type="dxa"/>
      </w:tblCellMar>
      <w:tblLook w:val="04A0" w:firstRow="1" w:lastRow="0" w:firstColumn="1" w:lastColumn="0" w:noHBand="0" w:noVBand="1"/>
      <w:tblCaption w:val="HozSacharBottomTitle"/>
      <w:tblDescription w:val="פרטי התקשרות"/>
    </w:tblPr>
    <w:tblGrid>
      <w:gridCol w:w="453"/>
      <w:gridCol w:w="2345"/>
      <w:gridCol w:w="453"/>
      <w:gridCol w:w="2150"/>
      <w:gridCol w:w="453"/>
      <w:gridCol w:w="4715"/>
    </w:tblGrid>
    <w:tr w:rsidR="00EB73B6" w14:paraId="3E7F1CAF" w14:textId="77777777" w:rsidTr="00DF0CEA">
      <w:trPr>
        <w:trHeight w:val="20"/>
      </w:trPr>
      <w:tc>
        <w:tcPr>
          <w:tcW w:w="453" w:type="dxa"/>
          <w:vAlign w:val="center"/>
        </w:tcPr>
        <w:p w14:paraId="5E9982DE" w14:textId="77777777" w:rsidR="00EB73B6" w:rsidRDefault="00EB73B6" w:rsidP="00EB73B6">
          <w:pPr>
            <w:pStyle w:val="aa"/>
            <w:jc w:val="center"/>
            <w:rPr>
              <w:rtl/>
            </w:rPr>
          </w:pPr>
          <w:r>
            <w:rPr>
              <w:rFonts w:hint="cs"/>
              <w:noProof/>
              <w:rtl/>
            </w:rPr>
            <w:drawing>
              <wp:inline distT="0" distB="0" distL="0" distR="0" wp14:anchorId="00D7A22F" wp14:editId="6B7584EB">
                <wp:extent cx="216000" cy="216000"/>
                <wp:effectExtent l="0" t="0" r="0" b="0"/>
                <wp:docPr id="212" name="Picture 19" title="מיק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ress.png"/>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2345" w:type="dxa"/>
          <w:vAlign w:val="center"/>
        </w:tcPr>
        <w:p w14:paraId="423E6527" w14:textId="77777777" w:rsidR="00EB73B6" w:rsidRDefault="00EB73B6" w:rsidP="00EB73B6">
          <w:pPr>
            <w:pStyle w:val="aa"/>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 xml:space="preserve">רח' קפלן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1</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ירושלים</w:t>
          </w:r>
        </w:p>
        <w:p w14:paraId="6EBB4F39" w14:textId="77777777" w:rsidR="00EB73B6" w:rsidRPr="00F31839" w:rsidRDefault="00EB73B6" w:rsidP="00EB73B6">
          <w:pPr>
            <w:pStyle w:val="aa"/>
            <w:jc w:val="left"/>
            <w:rPr>
              <w:sz w:val="20"/>
              <w:szCs w:val="22"/>
              <w:rtl/>
            </w:rPr>
          </w:pPr>
          <w:r w:rsidRPr="009D2279">
            <w:rPr>
              <w:rFonts w:asciiTheme="minorHAnsi" w:hAnsiTheme="minorHAnsi" w:cstheme="minorHAnsi"/>
              <w:color w:val="404040" w:themeColor="text1" w:themeTint="BF"/>
              <w:sz w:val="20"/>
              <w:szCs w:val="22"/>
              <w:rtl/>
            </w:rPr>
            <w:t>9103002</w:t>
          </w:r>
          <w:r w:rsidRPr="009D2279">
            <w:rPr>
              <w:rFonts w:asciiTheme="minorHAnsi" w:hAnsiTheme="minorHAnsi" w:cstheme="minorHAnsi" w:hint="cs"/>
              <w:color w:val="404040" w:themeColor="text1" w:themeTint="BF"/>
              <w:sz w:val="20"/>
              <w:szCs w:val="22"/>
              <w:rtl/>
            </w:rPr>
            <w:t xml:space="preserve">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ת.ד</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3100</w:t>
          </w:r>
        </w:p>
      </w:tc>
      <w:tc>
        <w:tcPr>
          <w:tcW w:w="453" w:type="dxa"/>
          <w:vAlign w:val="center"/>
        </w:tcPr>
        <w:p w14:paraId="22DB378B" w14:textId="77777777" w:rsidR="00EB73B6" w:rsidRDefault="00EB73B6" w:rsidP="00EB73B6">
          <w:pPr>
            <w:pStyle w:val="aa"/>
            <w:jc w:val="center"/>
          </w:pPr>
          <w:r>
            <w:rPr>
              <w:noProof/>
            </w:rPr>
            <w:drawing>
              <wp:inline distT="0" distB="0" distL="0" distR="0" wp14:anchorId="16790CC8" wp14:editId="3CEC18C4">
                <wp:extent cx="216000" cy="224186"/>
                <wp:effectExtent l="0" t="0" r="0" b="4445"/>
                <wp:docPr id="213" name="Picture 20" title="טלפ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ne.png"/>
                        <pic:cNvPicPr/>
                      </pic:nvPicPr>
                      <pic:blipFill>
                        <a:blip r:embed="rId2">
                          <a:extLst>
                            <a:ext uri="{28A0092B-C50C-407E-A947-70E740481C1C}">
                              <a14:useLocalDpi xmlns:a14="http://schemas.microsoft.com/office/drawing/2010/main" val="0"/>
                            </a:ext>
                          </a:extLst>
                        </a:blip>
                        <a:stretch>
                          <a:fillRect/>
                        </a:stretch>
                      </pic:blipFill>
                      <pic:spPr>
                        <a:xfrm flipH="1">
                          <a:off x="0" y="0"/>
                          <a:ext cx="216000" cy="224186"/>
                        </a:xfrm>
                        <a:prstGeom prst="rect">
                          <a:avLst/>
                        </a:prstGeom>
                      </pic:spPr>
                    </pic:pic>
                  </a:graphicData>
                </a:graphic>
              </wp:inline>
            </w:drawing>
          </w:r>
        </w:p>
      </w:tc>
      <w:tc>
        <w:tcPr>
          <w:tcW w:w="2150" w:type="dxa"/>
          <w:vAlign w:val="center"/>
        </w:tcPr>
        <w:p w14:paraId="4EEE9075" w14:textId="77777777" w:rsidR="00EB73B6" w:rsidRPr="009D2279" w:rsidRDefault="00EB73B6" w:rsidP="00EB73B6">
          <w:pPr>
            <w:pStyle w:val="aa"/>
            <w:jc w:val="left"/>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טל'</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5317</w:t>
          </w:r>
          <w:r>
            <w:rPr>
              <w:rFonts w:asciiTheme="minorHAnsi" w:hAnsiTheme="minorHAnsi" w:cstheme="minorHAnsi" w:hint="cs"/>
              <w:color w:val="404040" w:themeColor="text1" w:themeTint="BF"/>
              <w:sz w:val="20"/>
              <w:szCs w:val="22"/>
              <w:rtl/>
            </w:rPr>
            <w:t>189</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 xml:space="preserve"> 02</w:t>
          </w:r>
        </w:p>
        <w:p w14:paraId="3128C4DA" w14:textId="77777777" w:rsidR="00EB73B6" w:rsidRDefault="00EB73B6" w:rsidP="00EB73B6">
          <w:pPr>
            <w:pStyle w:val="aa"/>
            <w:jc w:val="left"/>
            <w:rPr>
              <w:rtl/>
            </w:rPr>
          </w:pPr>
        </w:p>
      </w:tc>
      <w:tc>
        <w:tcPr>
          <w:tcW w:w="453" w:type="dxa"/>
          <w:vAlign w:val="center"/>
        </w:tcPr>
        <w:p w14:paraId="0414ABB3" w14:textId="77777777" w:rsidR="00EB73B6" w:rsidRDefault="00EB73B6" w:rsidP="00EB73B6">
          <w:pPr>
            <w:pStyle w:val="aa"/>
            <w:jc w:val="center"/>
            <w:rPr>
              <w:rtl/>
            </w:rPr>
          </w:pPr>
          <w:r>
            <w:rPr>
              <w:rFonts w:hint="cs"/>
              <w:noProof/>
              <w:rtl/>
            </w:rPr>
            <w:drawing>
              <wp:inline distT="0" distB="0" distL="0" distR="0" wp14:anchorId="487EF550" wp14:editId="4995DD4C">
                <wp:extent cx="216000" cy="216000"/>
                <wp:effectExtent l="0" t="0" r="0" b="0"/>
                <wp:docPr id="214" name="Picture 21" title="ק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3">
                          <a:extLst>
                            <a:ext uri="{28A0092B-C50C-407E-A947-70E740481C1C}">
                              <a14:useLocalDpi xmlns:a14="http://schemas.microsoft.com/office/drawing/2010/main" val="0"/>
                            </a:ext>
                          </a:extLst>
                        </a:blip>
                        <a:stretch>
                          <a:fillRect/>
                        </a:stretch>
                      </pic:blipFill>
                      <pic:spPr>
                        <a:xfrm flipH="1">
                          <a:off x="0" y="0"/>
                          <a:ext cx="216000" cy="216000"/>
                        </a:xfrm>
                        <a:prstGeom prst="rect">
                          <a:avLst/>
                        </a:prstGeom>
                      </pic:spPr>
                    </pic:pic>
                  </a:graphicData>
                </a:graphic>
              </wp:inline>
            </w:drawing>
          </w:r>
        </w:p>
      </w:tc>
      <w:tc>
        <w:tcPr>
          <w:tcW w:w="4715" w:type="dxa"/>
          <w:vAlign w:val="center"/>
        </w:tcPr>
        <w:p w14:paraId="280BB6F7" w14:textId="77777777" w:rsidR="00EB73B6" w:rsidRPr="00080329" w:rsidRDefault="00EB73B6" w:rsidP="00EB73B6">
          <w:pPr>
            <w:pStyle w:val="aa"/>
            <w:rPr>
              <w:rStyle w:val="Hyperlink"/>
              <w:rFonts w:asciiTheme="minorHAnsi" w:hAnsiTheme="minorHAnsi" w:cstheme="minorHAnsi"/>
              <w:sz w:val="28"/>
              <w:szCs w:val="28"/>
              <w:rtl/>
            </w:rPr>
          </w:pPr>
          <w:r>
            <w:rPr>
              <w:rFonts w:asciiTheme="minorHAnsi" w:hAnsiTheme="minorHAnsi" w:cstheme="minorHAnsi" w:hint="cs"/>
              <w:color w:val="404040" w:themeColor="text1" w:themeTint="BF"/>
              <w:sz w:val="22"/>
              <w:szCs w:val="22"/>
              <w:rtl/>
            </w:rPr>
            <w:t>מערכת חוזרים</w:t>
          </w:r>
          <w:r>
            <w:rPr>
              <w:rFonts w:hint="cs"/>
              <w:rtl/>
            </w:rPr>
            <w:t>:</w:t>
          </w:r>
          <w:r>
            <w:rPr>
              <w:rtl/>
            </w:rPr>
            <w:tab/>
          </w:r>
          <w:hyperlink r:id="rId4" w:history="1">
            <w:r w:rsidRPr="00080329">
              <w:rPr>
                <w:rStyle w:val="Hyperlink"/>
                <w:rFonts w:asciiTheme="minorHAnsi" w:hAnsiTheme="minorHAnsi" w:cstheme="minorHAnsi"/>
                <w:color w:val="365F91" w:themeColor="accent1" w:themeShade="BF"/>
                <w:sz w:val="22"/>
                <w:szCs w:val="22"/>
              </w:rPr>
              <w:t>www.</w:t>
            </w:r>
            <w:r w:rsidRPr="00080329">
              <w:rPr>
                <w:rStyle w:val="Hyperlink"/>
                <w:rFonts w:asciiTheme="minorHAnsi" w:hAnsiTheme="minorHAnsi" w:cstheme="minorHAnsi" w:hint="cs"/>
                <w:color w:val="365F91" w:themeColor="accent1" w:themeShade="BF"/>
                <w:sz w:val="22"/>
                <w:szCs w:val="22"/>
              </w:rPr>
              <w:t>hozrimsachar.mof.gov</w:t>
            </w:r>
            <w:r w:rsidRPr="00080329">
              <w:rPr>
                <w:rStyle w:val="Hyperlink"/>
                <w:rFonts w:asciiTheme="minorHAnsi" w:hAnsiTheme="minorHAnsi" w:cstheme="minorHAnsi"/>
                <w:color w:val="365F91" w:themeColor="accent1" w:themeShade="BF"/>
                <w:sz w:val="22"/>
                <w:szCs w:val="22"/>
              </w:rPr>
              <w:t>.il</w:t>
            </w:r>
          </w:hyperlink>
        </w:p>
        <w:p w14:paraId="6476D966" w14:textId="77777777" w:rsidR="00EB73B6" w:rsidRPr="00080329" w:rsidRDefault="00EB73B6" w:rsidP="00EB73B6">
          <w:pPr>
            <w:pStyle w:val="aa"/>
            <w:rPr>
              <w:rtl/>
            </w:rPr>
          </w:pPr>
          <w:r>
            <w:rPr>
              <w:rFonts w:asciiTheme="minorHAnsi" w:hAnsiTheme="minorHAnsi" w:cstheme="minorHAnsi" w:hint="cs"/>
              <w:color w:val="404040" w:themeColor="text1" w:themeTint="BF"/>
              <w:sz w:val="22"/>
              <w:szCs w:val="22"/>
              <w:rtl/>
            </w:rPr>
            <w:t>דוא"ל:</w:t>
          </w:r>
          <w:r>
            <w:rPr>
              <w:rFonts w:asciiTheme="minorHAnsi" w:hAnsiTheme="minorHAnsi" w:cstheme="minorHAnsi"/>
              <w:color w:val="404040" w:themeColor="text1" w:themeTint="BF"/>
              <w:sz w:val="22"/>
              <w:szCs w:val="22"/>
              <w:rtl/>
            </w:rPr>
            <w:tab/>
          </w:r>
          <w:hyperlink r:id="rId5" w:history="1">
            <w:r>
              <w:rPr>
                <w:rStyle w:val="Hyperlink"/>
                <w:rFonts w:ascii="Calibri" w:hAnsi="Calibri" w:cs="Calibri"/>
                <w:color w:val="0563C1"/>
                <w:sz w:val="22"/>
                <w:szCs w:val="22"/>
              </w:rPr>
              <w:t>Pamercal@mof.gov.il</w:t>
            </w:r>
          </w:hyperlink>
        </w:p>
      </w:tc>
    </w:tr>
  </w:tbl>
  <w:p w14:paraId="2D7C3E5E" w14:textId="77777777" w:rsidR="0022663B" w:rsidRPr="00EB73B6" w:rsidRDefault="0022663B" w:rsidP="00F3183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896E" w14:textId="77777777" w:rsidR="000F388D" w:rsidRDefault="000F388D" w:rsidP="00B8755D">
      <w:pPr>
        <w:spacing w:before="0" w:after="0" w:line="240" w:lineRule="auto"/>
      </w:pPr>
      <w:r>
        <w:separator/>
      </w:r>
    </w:p>
  </w:footnote>
  <w:footnote w:type="continuationSeparator" w:id="0">
    <w:p w14:paraId="605029AA" w14:textId="77777777" w:rsidR="000F388D" w:rsidRDefault="000F388D" w:rsidP="00B875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76B3" w14:textId="77777777" w:rsidR="00EB73B6" w:rsidRDefault="003B3C40">
    <w:pPr>
      <w:pStyle w:val="a8"/>
    </w:pPr>
    <w:r>
      <w:rPr>
        <w:noProof/>
        <w:szCs w:val="24"/>
        <w:rtl/>
      </w:rPr>
      <w:drawing>
        <wp:anchor distT="0" distB="0" distL="114300" distR="114300" simplePos="0" relativeHeight="251659264" behindDoc="0" locked="0" layoutInCell="1" allowOverlap="1" wp14:anchorId="5956E5D5" wp14:editId="75BBF311">
          <wp:simplePos x="0" y="0"/>
          <wp:positionH relativeFrom="column">
            <wp:posOffset>-1096976</wp:posOffset>
          </wp:positionH>
          <wp:positionV relativeFrom="paragraph">
            <wp:posOffset>-349885</wp:posOffset>
          </wp:positionV>
          <wp:extent cx="7473950" cy="1376680"/>
          <wp:effectExtent l="0" t="0" r="0" b="0"/>
          <wp:wrapNone/>
          <wp:docPr id="1" name="Picture 1" title="HozSacharKla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zar-chozrim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3950" cy="1376680"/>
                  </a:xfrm>
                  <a:prstGeom prst="rect">
                    <a:avLst/>
                  </a:prstGeom>
                </pic:spPr>
              </pic:pic>
            </a:graphicData>
          </a:graphic>
          <wp14:sizeRelH relativeFrom="page">
            <wp14:pctWidth>0</wp14:pctWidth>
          </wp14:sizeRelH>
          <wp14:sizeRelV relativeFrom="page">
            <wp14:pctHeight>0</wp14:pctHeight>
          </wp14:sizeRelV>
        </wp:anchor>
      </w:drawing>
    </w:r>
    <w:r w:rsidR="00EB73B6" w:rsidRPr="00663409">
      <w:rPr>
        <w:noProof/>
        <w:szCs w:val="24"/>
      </w:rPr>
      <mc:AlternateContent>
        <mc:Choice Requires="wps">
          <w:drawing>
            <wp:anchor distT="45720" distB="45720" distL="114300" distR="114300" simplePos="0" relativeHeight="251661312" behindDoc="0" locked="0" layoutInCell="1" allowOverlap="1" wp14:anchorId="4668D972" wp14:editId="3F6AD76F">
              <wp:simplePos x="0" y="0"/>
              <wp:positionH relativeFrom="margin">
                <wp:posOffset>-1039108</wp:posOffset>
              </wp:positionH>
              <wp:positionV relativeFrom="paragraph">
                <wp:posOffset>695657</wp:posOffset>
              </wp:positionV>
              <wp:extent cx="1174115" cy="2787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78765"/>
                      </a:xfrm>
                      <a:prstGeom prst="rect">
                        <a:avLst/>
                      </a:prstGeom>
                      <a:noFill/>
                      <a:ln w="9525">
                        <a:noFill/>
                        <a:miter lim="800000"/>
                        <a:headEnd/>
                        <a:tailEnd/>
                      </a:ln>
                    </wps:spPr>
                    <wps:txbx>
                      <w:txbxContent>
                        <w:p w14:paraId="15578148" w14:textId="7C0F0374" w:rsidR="00EB73B6" w:rsidRPr="00EB73B6" w:rsidRDefault="00A31E4E" w:rsidP="00EB73B6">
                          <w:pPr>
                            <w:spacing w:before="0"/>
                            <w:jc w:val="left"/>
                            <w:rPr>
                              <w:sz w:val="26"/>
                            </w:rPr>
                          </w:pPr>
                          <w:r>
                            <w:rPr>
                              <w:rtl/>
                            </w:rPr>
                            <w:t>2026-1-3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8D972" id="_x0000_t202" coordsize="21600,21600" o:spt="202" path="m,l,21600r21600,l21600,xe">
              <v:stroke joinstyle="miter"/>
              <v:path gradientshapeok="t" o:connecttype="rect"/>
            </v:shapetype>
            <v:shape id="Text Box 2" o:spid="_x0000_s1026" type="#_x0000_t202" style="position:absolute;left:0;text-align:left;margin-left:-81.8pt;margin-top:54.8pt;width:92.45pt;height:21.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" filled="f" stroked="f">
              <v:textbox>
                <w:txbxContent>
                  <w:p w14:paraId="15578148" w14:textId="7C0F0374" w:rsidR="00EB73B6" w:rsidRPr="00EB73B6" w:rsidRDefault="00A31E4E" w:rsidP="00EB73B6">
                    <w:pPr>
                      <w:spacing w:before="0"/>
                      <w:jc w:val="left"/>
                      <w:rPr>
                        <w:sz w:val="26"/>
                      </w:rPr>
                    </w:pPr>
                    <w:r>
                      <w:rPr>
                        <w:rtl/>
                      </w:rPr>
                      <w:t>2026-1-3</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797"/>
    <w:multiLevelType w:val="multilevel"/>
    <w:tmpl w:val="CB2CFB36"/>
    <w:numStyleLink w:val="-"/>
  </w:abstractNum>
  <w:abstractNum w:abstractNumId="1"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90D37"/>
    <w:multiLevelType w:val="multilevel"/>
    <w:tmpl w:val="2C7611E6"/>
    <w:numStyleLink w:val="-0"/>
  </w:abstractNum>
  <w:abstractNum w:abstractNumId="4" w15:restartNumberingAfterBreak="0">
    <w:nsid w:val="477D4CEE"/>
    <w:multiLevelType w:val="multilevel"/>
    <w:tmpl w:val="2C7611E6"/>
    <w:numStyleLink w:val="-0"/>
  </w:abstractNum>
  <w:abstractNum w:abstractNumId="5" w15:restartNumberingAfterBreak="0">
    <w:nsid w:val="52C63965"/>
    <w:multiLevelType w:val="multilevel"/>
    <w:tmpl w:val="CB2CFB36"/>
    <w:numStyleLink w:val="-"/>
  </w:abstractNum>
  <w:abstractNum w:abstractNumId="6"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16cid:durableId="318122033">
    <w:abstractNumId w:val="3"/>
  </w:num>
  <w:num w:numId="2" w16cid:durableId="300624468">
    <w:abstractNumId w:val="6"/>
  </w:num>
  <w:num w:numId="3" w16cid:durableId="137722612">
    <w:abstractNumId w:val="1"/>
  </w:num>
  <w:num w:numId="4" w16cid:durableId="77868114">
    <w:abstractNumId w:val="2"/>
  </w:num>
  <w:num w:numId="5" w16cid:durableId="901060462">
    <w:abstractNumId w:val="0"/>
  </w:num>
  <w:num w:numId="6" w16cid:durableId="1328904221">
    <w:abstractNumId w:val="4"/>
  </w:num>
  <w:num w:numId="7" w16cid:durableId="941910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5D"/>
    <w:rsid w:val="00014182"/>
    <w:rsid w:val="00047C97"/>
    <w:rsid w:val="000520B7"/>
    <w:rsid w:val="000568CE"/>
    <w:rsid w:val="00063A55"/>
    <w:rsid w:val="00066383"/>
    <w:rsid w:val="00093B9D"/>
    <w:rsid w:val="000A7E70"/>
    <w:rsid w:val="000B2A61"/>
    <w:rsid w:val="000C04AE"/>
    <w:rsid w:val="000E6098"/>
    <w:rsid w:val="000E632C"/>
    <w:rsid w:val="000F388D"/>
    <w:rsid w:val="000F691B"/>
    <w:rsid w:val="0010326C"/>
    <w:rsid w:val="001611C6"/>
    <w:rsid w:val="00164B30"/>
    <w:rsid w:val="00180A93"/>
    <w:rsid w:val="0018292D"/>
    <w:rsid w:val="00197056"/>
    <w:rsid w:val="001A7C42"/>
    <w:rsid w:val="001B4B81"/>
    <w:rsid w:val="001C1B46"/>
    <w:rsid w:val="001C4F6D"/>
    <w:rsid w:val="001D55DD"/>
    <w:rsid w:val="001E548A"/>
    <w:rsid w:val="00224F04"/>
    <w:rsid w:val="0022663B"/>
    <w:rsid w:val="002624FE"/>
    <w:rsid w:val="00275887"/>
    <w:rsid w:val="00283ABF"/>
    <w:rsid w:val="00283C7C"/>
    <w:rsid w:val="00285AFF"/>
    <w:rsid w:val="002A54A3"/>
    <w:rsid w:val="002A7FEA"/>
    <w:rsid w:val="002D3716"/>
    <w:rsid w:val="002D7789"/>
    <w:rsid w:val="002E38F4"/>
    <w:rsid w:val="002F197C"/>
    <w:rsid w:val="00325E01"/>
    <w:rsid w:val="00361114"/>
    <w:rsid w:val="0037480D"/>
    <w:rsid w:val="003840FE"/>
    <w:rsid w:val="00393C6A"/>
    <w:rsid w:val="003A1D7A"/>
    <w:rsid w:val="003B3C40"/>
    <w:rsid w:val="003B7F8D"/>
    <w:rsid w:val="003C3A5C"/>
    <w:rsid w:val="003C7BC8"/>
    <w:rsid w:val="003F1396"/>
    <w:rsid w:val="0040055E"/>
    <w:rsid w:val="00406866"/>
    <w:rsid w:val="0040768C"/>
    <w:rsid w:val="00423D6A"/>
    <w:rsid w:val="00426E0E"/>
    <w:rsid w:val="004323EF"/>
    <w:rsid w:val="004410DE"/>
    <w:rsid w:val="0044663B"/>
    <w:rsid w:val="00451F2E"/>
    <w:rsid w:val="004523EB"/>
    <w:rsid w:val="00452D7A"/>
    <w:rsid w:val="004C127D"/>
    <w:rsid w:val="004C5538"/>
    <w:rsid w:val="004D59C3"/>
    <w:rsid w:val="004D65A1"/>
    <w:rsid w:val="004E479D"/>
    <w:rsid w:val="004F3773"/>
    <w:rsid w:val="005028F9"/>
    <w:rsid w:val="00505B19"/>
    <w:rsid w:val="00505D36"/>
    <w:rsid w:val="00515321"/>
    <w:rsid w:val="00515E5C"/>
    <w:rsid w:val="0051700E"/>
    <w:rsid w:val="00534452"/>
    <w:rsid w:val="005371D8"/>
    <w:rsid w:val="00556BE2"/>
    <w:rsid w:val="00571276"/>
    <w:rsid w:val="00571A71"/>
    <w:rsid w:val="005A731B"/>
    <w:rsid w:val="005D42E4"/>
    <w:rsid w:val="005E5EC9"/>
    <w:rsid w:val="00600BFA"/>
    <w:rsid w:val="00600F1F"/>
    <w:rsid w:val="00601D8B"/>
    <w:rsid w:val="00602DAD"/>
    <w:rsid w:val="00616045"/>
    <w:rsid w:val="00623CCF"/>
    <w:rsid w:val="006309B0"/>
    <w:rsid w:val="00646CD5"/>
    <w:rsid w:val="0066664E"/>
    <w:rsid w:val="00692C69"/>
    <w:rsid w:val="006952CA"/>
    <w:rsid w:val="006A13C9"/>
    <w:rsid w:val="006A2503"/>
    <w:rsid w:val="006A3DE3"/>
    <w:rsid w:val="006A5446"/>
    <w:rsid w:val="006B352E"/>
    <w:rsid w:val="006C55AF"/>
    <w:rsid w:val="006C5DFF"/>
    <w:rsid w:val="006D0744"/>
    <w:rsid w:val="006D686D"/>
    <w:rsid w:val="006D7041"/>
    <w:rsid w:val="006E5942"/>
    <w:rsid w:val="007044C3"/>
    <w:rsid w:val="00706164"/>
    <w:rsid w:val="00723886"/>
    <w:rsid w:val="00734B4B"/>
    <w:rsid w:val="00735D55"/>
    <w:rsid w:val="007427EF"/>
    <w:rsid w:val="00743847"/>
    <w:rsid w:val="0074770C"/>
    <w:rsid w:val="00751B50"/>
    <w:rsid w:val="00757313"/>
    <w:rsid w:val="00757879"/>
    <w:rsid w:val="007611DA"/>
    <w:rsid w:val="0078090D"/>
    <w:rsid w:val="0078789E"/>
    <w:rsid w:val="00793E5C"/>
    <w:rsid w:val="00795D5A"/>
    <w:rsid w:val="007A373A"/>
    <w:rsid w:val="007D4118"/>
    <w:rsid w:val="007E2692"/>
    <w:rsid w:val="007E64AC"/>
    <w:rsid w:val="0080160A"/>
    <w:rsid w:val="0082739B"/>
    <w:rsid w:val="00851D4A"/>
    <w:rsid w:val="00864DB3"/>
    <w:rsid w:val="00867AE5"/>
    <w:rsid w:val="00870D8A"/>
    <w:rsid w:val="0089204F"/>
    <w:rsid w:val="008B39D7"/>
    <w:rsid w:val="008E4C3D"/>
    <w:rsid w:val="008E77BE"/>
    <w:rsid w:val="009014E3"/>
    <w:rsid w:val="0090629A"/>
    <w:rsid w:val="00910BC9"/>
    <w:rsid w:val="00915C9A"/>
    <w:rsid w:val="00915FC2"/>
    <w:rsid w:val="00935E81"/>
    <w:rsid w:val="009576D4"/>
    <w:rsid w:val="00974D46"/>
    <w:rsid w:val="00986444"/>
    <w:rsid w:val="00990A24"/>
    <w:rsid w:val="0099173E"/>
    <w:rsid w:val="009A1B50"/>
    <w:rsid w:val="009B64FE"/>
    <w:rsid w:val="009D2279"/>
    <w:rsid w:val="009D3F2B"/>
    <w:rsid w:val="009E52B5"/>
    <w:rsid w:val="009F7F7A"/>
    <w:rsid w:val="00A07C5D"/>
    <w:rsid w:val="00A101F8"/>
    <w:rsid w:val="00A15876"/>
    <w:rsid w:val="00A15D5D"/>
    <w:rsid w:val="00A30921"/>
    <w:rsid w:val="00A31893"/>
    <w:rsid w:val="00A31E4E"/>
    <w:rsid w:val="00A5751E"/>
    <w:rsid w:val="00A67A4F"/>
    <w:rsid w:val="00A7396A"/>
    <w:rsid w:val="00A73972"/>
    <w:rsid w:val="00A84333"/>
    <w:rsid w:val="00A84658"/>
    <w:rsid w:val="00A972D3"/>
    <w:rsid w:val="00AA4752"/>
    <w:rsid w:val="00AA7166"/>
    <w:rsid w:val="00AB4D4F"/>
    <w:rsid w:val="00AC0823"/>
    <w:rsid w:val="00AC3FEC"/>
    <w:rsid w:val="00AC4D42"/>
    <w:rsid w:val="00AD0167"/>
    <w:rsid w:val="00AF1C47"/>
    <w:rsid w:val="00B03E2B"/>
    <w:rsid w:val="00B041F7"/>
    <w:rsid w:val="00B144D4"/>
    <w:rsid w:val="00B22087"/>
    <w:rsid w:val="00B311D4"/>
    <w:rsid w:val="00B3785A"/>
    <w:rsid w:val="00B429D7"/>
    <w:rsid w:val="00B60EE6"/>
    <w:rsid w:val="00B67385"/>
    <w:rsid w:val="00B8755D"/>
    <w:rsid w:val="00B91214"/>
    <w:rsid w:val="00B93390"/>
    <w:rsid w:val="00B93A25"/>
    <w:rsid w:val="00BB00B8"/>
    <w:rsid w:val="00BB393A"/>
    <w:rsid w:val="00BD67E7"/>
    <w:rsid w:val="00C01906"/>
    <w:rsid w:val="00C171DC"/>
    <w:rsid w:val="00C27AC8"/>
    <w:rsid w:val="00C37F33"/>
    <w:rsid w:val="00C62C9B"/>
    <w:rsid w:val="00C77E46"/>
    <w:rsid w:val="00C84ABA"/>
    <w:rsid w:val="00C912F8"/>
    <w:rsid w:val="00CA61AF"/>
    <w:rsid w:val="00CB40A4"/>
    <w:rsid w:val="00CC356E"/>
    <w:rsid w:val="00CD6DB8"/>
    <w:rsid w:val="00CE0517"/>
    <w:rsid w:val="00CF44BB"/>
    <w:rsid w:val="00D13CCC"/>
    <w:rsid w:val="00D15BCF"/>
    <w:rsid w:val="00D33979"/>
    <w:rsid w:val="00D37442"/>
    <w:rsid w:val="00D61AC3"/>
    <w:rsid w:val="00D66453"/>
    <w:rsid w:val="00D731DA"/>
    <w:rsid w:val="00D969C1"/>
    <w:rsid w:val="00DA200B"/>
    <w:rsid w:val="00DA54F8"/>
    <w:rsid w:val="00DB6C3D"/>
    <w:rsid w:val="00DC75C9"/>
    <w:rsid w:val="00DD5320"/>
    <w:rsid w:val="00DE069A"/>
    <w:rsid w:val="00DE7CC8"/>
    <w:rsid w:val="00DF73FF"/>
    <w:rsid w:val="00E41B31"/>
    <w:rsid w:val="00E45B6D"/>
    <w:rsid w:val="00E56588"/>
    <w:rsid w:val="00E849EC"/>
    <w:rsid w:val="00E9300E"/>
    <w:rsid w:val="00E95EEF"/>
    <w:rsid w:val="00EA6729"/>
    <w:rsid w:val="00EB73B6"/>
    <w:rsid w:val="00EC303E"/>
    <w:rsid w:val="00EF3013"/>
    <w:rsid w:val="00EF71D7"/>
    <w:rsid w:val="00F00D41"/>
    <w:rsid w:val="00F0592A"/>
    <w:rsid w:val="00F25ABF"/>
    <w:rsid w:val="00F31839"/>
    <w:rsid w:val="00F42455"/>
    <w:rsid w:val="00F509E4"/>
    <w:rsid w:val="00F71671"/>
    <w:rsid w:val="00F74EF7"/>
    <w:rsid w:val="00F80DA7"/>
    <w:rsid w:val="00F866DE"/>
    <w:rsid w:val="00F975CB"/>
    <w:rsid w:val="00FE3193"/>
    <w:rsid w:val="00FE3F33"/>
    <w:rsid w:val="00FF5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74B20"/>
  <w15:chartTrackingRefBased/>
  <w15:docId w15:val="{2601F3A1-44A3-48D0-9711-441A97CC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823"/>
    <w:pPr>
      <w:bidi/>
      <w:spacing w:before="120" w:after="120" w:line="360" w:lineRule="auto"/>
      <w:jc w:val="both"/>
    </w:pPr>
    <w:rPr>
      <w:rFonts w:ascii="Times New Roman" w:hAnsi="Times New Roman" w:cs="FrankRuehl"/>
      <w:sz w:val="24"/>
      <w:szCs w:val="26"/>
    </w:rPr>
  </w:style>
  <w:style w:type="paragraph" w:styleId="1">
    <w:name w:val="heading 1"/>
    <w:basedOn w:val="a"/>
    <w:next w:val="a"/>
    <w:link w:val="10"/>
    <w:uiPriority w:val="9"/>
    <w:qFormat/>
    <w:rsid w:val="003A1D7A"/>
    <w:pPr>
      <w:widowControl w:val="0"/>
      <w:spacing w:after="0"/>
      <w:outlineLvl w:val="0"/>
    </w:pPr>
    <w:rPr>
      <w:b/>
      <w:bCs/>
      <w:caps/>
      <w:spacing w:val="15"/>
      <w:sz w:val="36"/>
      <w:szCs w:val="36"/>
    </w:rPr>
  </w:style>
  <w:style w:type="paragraph" w:styleId="2">
    <w:name w:val="heading 2"/>
    <w:basedOn w:val="a"/>
    <w:next w:val="a"/>
    <w:link w:val="20"/>
    <w:uiPriority w:val="9"/>
    <w:unhideWhenUsed/>
    <w:qFormat/>
    <w:rsid w:val="003A1D7A"/>
    <w:pPr>
      <w:widowControl w:val="0"/>
      <w:spacing w:after="0"/>
      <w:outlineLvl w:val="1"/>
    </w:pPr>
    <w:rPr>
      <w:b/>
      <w:bCs/>
      <w:caps/>
      <w:spacing w:val="15"/>
      <w:sz w:val="32"/>
      <w:szCs w:val="32"/>
    </w:rPr>
  </w:style>
  <w:style w:type="paragraph" w:styleId="3">
    <w:name w:val="heading 3"/>
    <w:basedOn w:val="a"/>
    <w:next w:val="a"/>
    <w:link w:val="30"/>
    <w:uiPriority w:val="9"/>
    <w:unhideWhenUsed/>
    <w:qFormat/>
    <w:rsid w:val="001611C6"/>
    <w:pPr>
      <w:widowControl w:val="0"/>
      <w:bidi w:val="0"/>
      <w:spacing w:before="300" w:after="0"/>
      <w:outlineLvl w:val="2"/>
    </w:pPr>
    <w:rPr>
      <w:bCs/>
      <w:caps/>
      <w:spacing w:val="15"/>
      <w:sz w:val="28"/>
      <w:szCs w:val="28"/>
    </w:rPr>
  </w:style>
  <w:style w:type="paragraph" w:styleId="4">
    <w:name w:val="heading 4"/>
    <w:basedOn w:val="a"/>
    <w:next w:val="a"/>
    <w:link w:val="40"/>
    <w:uiPriority w:val="9"/>
    <w:unhideWhenUsed/>
    <w:qFormat/>
    <w:rsid w:val="003A1D7A"/>
    <w:pPr>
      <w:bidi w:val="0"/>
      <w:spacing w:before="300" w:after="0"/>
      <w:outlineLvl w:val="3"/>
    </w:pPr>
    <w:rPr>
      <w:b/>
      <w:bCs/>
      <w:caps/>
      <w:spacing w:val="10"/>
    </w:rPr>
  </w:style>
  <w:style w:type="paragraph" w:styleId="5">
    <w:name w:val="heading 5"/>
    <w:basedOn w:val="a"/>
    <w:next w:val="a"/>
    <w:link w:val="50"/>
    <w:uiPriority w:val="9"/>
    <w:unhideWhenUsed/>
    <w:qFormat/>
    <w:rsid w:val="003A1D7A"/>
    <w:pPr>
      <w:widowControl w:val="0"/>
      <w:bidi w:val="0"/>
      <w:spacing w:before="300" w:after="0"/>
      <w:outlineLvl w:val="4"/>
    </w:pPr>
    <w:rPr>
      <w:b/>
      <w:bCs/>
      <w:caps/>
      <w:spacing w:val="10"/>
    </w:rPr>
  </w:style>
  <w:style w:type="paragraph" w:styleId="6">
    <w:name w:val="heading 6"/>
    <w:basedOn w:val="a"/>
    <w:next w:val="a"/>
    <w:link w:val="60"/>
    <w:uiPriority w:val="9"/>
    <w:unhideWhenUsed/>
    <w:qFormat/>
    <w:rsid w:val="00066383"/>
    <w:pPr>
      <w:widowControl w:val="0"/>
      <w:bidi w:val="0"/>
      <w:spacing w:before="300" w:after="0"/>
      <w:outlineLvl w:val="5"/>
    </w:pPr>
    <w:rPr>
      <w:b/>
      <w:bCs/>
      <w:caps/>
      <w:spacing w:val="10"/>
    </w:rPr>
  </w:style>
  <w:style w:type="paragraph" w:styleId="7">
    <w:name w:val="heading 7"/>
    <w:basedOn w:val="a"/>
    <w:next w:val="a"/>
    <w:link w:val="70"/>
    <w:uiPriority w:val="9"/>
    <w:unhideWhenUsed/>
    <w:qFormat/>
    <w:rsid w:val="003A1D7A"/>
    <w:pPr>
      <w:widowControl w:val="0"/>
      <w:bidi w:val="0"/>
      <w:spacing w:before="300" w:after="0"/>
      <w:outlineLvl w:val="6"/>
    </w:pPr>
    <w:rPr>
      <w:b/>
      <w:bCs/>
      <w:caps/>
      <w:spacing w:val="10"/>
    </w:rPr>
  </w:style>
  <w:style w:type="paragraph" w:styleId="8">
    <w:name w:val="heading 8"/>
    <w:basedOn w:val="a"/>
    <w:next w:val="a"/>
    <w:link w:val="80"/>
    <w:uiPriority w:val="9"/>
    <w:semiHidden/>
    <w:unhideWhenUsed/>
    <w:qFormat/>
    <w:rsid w:val="00014182"/>
    <w:pPr>
      <w:bidi w:val="0"/>
      <w:spacing w:before="300" w:after="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line="240" w:lineRule="auto"/>
      <w:ind w:left="482"/>
    </w:pPr>
  </w:style>
  <w:style w:type="paragraph" w:styleId="TOC1">
    <w:name w:val="toc 1"/>
    <w:basedOn w:val="a"/>
    <w:next w:val="a"/>
    <w:autoRedefine/>
    <w:uiPriority w:val="39"/>
    <w:unhideWhenUsed/>
    <w:rsid w:val="00600BFA"/>
    <w:pPr>
      <w:widowControl w:val="0"/>
      <w:tabs>
        <w:tab w:val="right" w:leader="dot" w:pos="8296"/>
      </w:tabs>
      <w:spacing w:before="100" w:after="100" w:line="240" w:lineRule="auto"/>
    </w:pPr>
  </w:style>
  <w:style w:type="paragraph" w:styleId="TOC2">
    <w:name w:val="toc 2"/>
    <w:basedOn w:val="a"/>
    <w:next w:val="a"/>
    <w:autoRedefine/>
    <w:uiPriority w:val="39"/>
    <w:unhideWhenUsed/>
    <w:rsid w:val="00600BFA"/>
    <w:pPr>
      <w:widowControl w:val="0"/>
      <w:tabs>
        <w:tab w:val="right" w:leader="dot" w:pos="8296"/>
      </w:tabs>
      <w:spacing w:before="100" w:after="100" w:line="240" w:lineRule="auto"/>
      <w:ind w:left="238"/>
    </w:pPr>
  </w:style>
  <w:style w:type="paragraph" w:styleId="TOC7">
    <w:name w:val="toc 7"/>
    <w:basedOn w:val="a"/>
    <w:next w:val="a"/>
    <w:autoRedefine/>
    <w:uiPriority w:val="39"/>
    <w:unhideWhenUsed/>
    <w:rsid w:val="00600BFA"/>
    <w:pPr>
      <w:widowControl w:val="0"/>
      <w:tabs>
        <w:tab w:val="right" w:leader="dot" w:pos="8296"/>
      </w:tabs>
      <w:spacing w:before="100" w:after="100" w:line="240" w:lineRule="auto"/>
      <w:ind w:left="1440"/>
    </w:pPr>
  </w:style>
  <w:style w:type="paragraph" w:styleId="TOC6">
    <w:name w:val="toc 6"/>
    <w:basedOn w:val="a"/>
    <w:next w:val="a"/>
    <w:autoRedefine/>
    <w:uiPriority w:val="39"/>
    <w:unhideWhenUsed/>
    <w:rsid w:val="00600BFA"/>
    <w:pPr>
      <w:widowControl w:val="0"/>
      <w:tabs>
        <w:tab w:val="right" w:leader="dot" w:pos="8296"/>
      </w:tabs>
      <w:spacing w:before="100" w:after="100" w:line="240" w:lineRule="auto"/>
      <w:ind w:left="1202"/>
      <w:contextualSpacing/>
    </w:pPr>
  </w:style>
  <w:style w:type="paragraph" w:styleId="TOC5">
    <w:name w:val="toc 5"/>
    <w:basedOn w:val="a"/>
    <w:next w:val="a"/>
    <w:autoRedefine/>
    <w:uiPriority w:val="39"/>
    <w:unhideWhenUsed/>
    <w:rsid w:val="00600BFA"/>
    <w:pPr>
      <w:widowControl w:val="0"/>
      <w:tabs>
        <w:tab w:val="right" w:leader="dot" w:pos="8296"/>
      </w:tabs>
      <w:spacing w:before="100" w:after="100" w:line="240" w:lineRule="auto"/>
      <w:ind w:left="958"/>
    </w:pPr>
  </w:style>
  <w:style w:type="paragraph" w:styleId="TOC4">
    <w:name w:val="toc 4"/>
    <w:basedOn w:val="a"/>
    <w:next w:val="a"/>
    <w:autoRedefine/>
    <w:uiPriority w:val="39"/>
    <w:unhideWhenUsed/>
    <w:rsid w:val="00600BFA"/>
    <w:pPr>
      <w:widowControl w:val="0"/>
      <w:spacing w:before="100" w:after="100" w:line="240" w:lineRule="auto"/>
      <w:ind w:left="720"/>
    </w:pPr>
  </w:style>
  <w:style w:type="paragraph" w:styleId="a7">
    <w:name w:val="List Paragraph"/>
    <w:basedOn w:val="a"/>
    <w:uiPriority w:val="34"/>
    <w:rsid w:val="00FE3193"/>
    <w:pPr>
      <w:ind w:left="720"/>
      <w:contextualSpacing/>
    </w:p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uiPriority w:val="99"/>
    <w:unhideWhenUsed/>
    <w:rsid w:val="00B8755D"/>
    <w:pPr>
      <w:tabs>
        <w:tab w:val="center" w:pos="4153"/>
        <w:tab w:val="right" w:pos="8306"/>
      </w:tabs>
      <w:spacing w:before="0" w:after="0" w:line="240" w:lineRule="auto"/>
    </w:pPr>
  </w:style>
  <w:style w:type="character" w:customStyle="1" w:styleId="a9">
    <w:name w:val="כותרת עליונה תו"/>
    <w:basedOn w:val="a0"/>
    <w:link w:val="a8"/>
    <w:uiPriority w:val="99"/>
    <w:rsid w:val="00B8755D"/>
    <w:rPr>
      <w:rFonts w:ascii="Times New Roman" w:hAnsi="Times New Roman" w:cs="FrankRuehl"/>
      <w:sz w:val="24"/>
      <w:szCs w:val="26"/>
    </w:rPr>
  </w:style>
  <w:style w:type="paragraph" w:styleId="aa">
    <w:name w:val="footer"/>
    <w:basedOn w:val="a"/>
    <w:link w:val="ab"/>
    <w:uiPriority w:val="99"/>
    <w:unhideWhenUsed/>
    <w:rsid w:val="00B8755D"/>
    <w:pPr>
      <w:tabs>
        <w:tab w:val="center" w:pos="4153"/>
        <w:tab w:val="right" w:pos="8306"/>
      </w:tabs>
      <w:spacing w:before="0" w:after="0" w:line="240" w:lineRule="auto"/>
    </w:pPr>
  </w:style>
  <w:style w:type="character" w:customStyle="1" w:styleId="ab">
    <w:name w:val="כותרת תחתונה תו"/>
    <w:basedOn w:val="a0"/>
    <w:link w:val="aa"/>
    <w:uiPriority w:val="99"/>
    <w:rsid w:val="00B8755D"/>
    <w:rPr>
      <w:rFonts w:ascii="Times New Roman" w:hAnsi="Times New Roman" w:cs="FrankRuehl"/>
      <w:sz w:val="24"/>
      <w:szCs w:val="26"/>
    </w:rPr>
  </w:style>
  <w:style w:type="paragraph" w:styleId="ac">
    <w:name w:val="Balloon Text"/>
    <w:basedOn w:val="a"/>
    <w:link w:val="ad"/>
    <w:uiPriority w:val="99"/>
    <w:semiHidden/>
    <w:unhideWhenUsed/>
    <w:rsid w:val="00DA54F8"/>
    <w:pPr>
      <w:spacing w:before="0" w:after="0" w:line="240" w:lineRule="auto"/>
    </w:pPr>
    <w:rPr>
      <w:rFonts w:ascii="Segoe UI" w:hAnsi="Segoe UI" w:cs="Segoe UI"/>
      <w:sz w:val="18"/>
      <w:szCs w:val="18"/>
    </w:rPr>
  </w:style>
  <w:style w:type="character" w:customStyle="1" w:styleId="ad">
    <w:name w:val="טקסט בלונים תו"/>
    <w:basedOn w:val="a0"/>
    <w:link w:val="ac"/>
    <w:uiPriority w:val="99"/>
    <w:semiHidden/>
    <w:rsid w:val="00DA54F8"/>
    <w:rPr>
      <w:rFonts w:ascii="Segoe UI" w:hAnsi="Segoe UI" w:cs="Segoe UI"/>
      <w:sz w:val="18"/>
      <w:szCs w:val="18"/>
    </w:rPr>
  </w:style>
  <w:style w:type="table" w:styleId="ae">
    <w:name w:val="Table Grid"/>
    <w:basedOn w:val="a1"/>
    <w:uiPriority w:val="59"/>
    <w:rsid w:val="00A07C5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E45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amercal@mof.gov.il" TargetMode="External"/><Relationship Id="rId4" Type="http://schemas.openxmlformats.org/officeDocument/2006/relationships/hyperlink" Target="file:///C:\Users\Sayelet\AppData\Local\Microsoft\Windows\INetCache\Content.Outlook\VBB64JWO\www.hozrimsachar.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5352-0E71-48E3-AC15-04AAC3E3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1002</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 שולומון</dc:creator>
  <cp:keywords/>
  <dc:description/>
  <cp:lastModifiedBy>אורית עמר</cp:lastModifiedBy>
  <cp:revision>2</cp:revision>
  <cp:lastPrinted>2020-01-21T13:31:00Z</cp:lastPrinted>
  <dcterms:created xsi:type="dcterms:W3CDTF">2026-01-22T09:20:00Z</dcterms:created>
  <dcterms:modified xsi:type="dcterms:W3CDTF">2026-01-22T09:20:00Z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notes://MAOR2/Doc/Sachar/SacharHozDoc.nsf/0/CE27E45940524DF0C2258D76004C6511/?OpenDocument</vt:lpwstr>
  </property>
  <property fmtid="{D5CDD505-2E9C-101B-9397-08002B2CF9AE}" pid="3" name="MaorRecipients0">
    <vt:lpwstr>elibi@mof.gov.il</vt:lpwstr>
  </property>
</Properties>
</file>