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F2C6" w14:textId="77777777" w:rsidR="00DE222E" w:rsidRDefault="00851D4A" w:rsidP="00D13CCC">
      <w:pPr>
        <w:spacing w:before="0" w:after="0" w:line="276" w:lineRule="auto"/>
        <w:ind w:left="5795" w:hanging="902"/>
        <w:jc w:val="left"/>
        <w:rPr>
          <w:rtl/>
        </w:rPr>
      </w:pPr>
      <w:r w:rsidRPr="00963945">
        <w:rPr>
          <w:rFonts w:hint="cs"/>
          <w:rtl/>
        </w:rPr>
        <w:t>ירושלים,</w:t>
      </w:r>
      <w:r w:rsidRPr="00963945">
        <w:rPr>
          <w:rFonts w:hint="cs"/>
          <w:rtl/>
        </w:rPr>
        <w:tab/>
      </w:r>
      <w:bookmarkStart w:id="0" w:name="Adding02"/>
      <w:bookmarkEnd w:id="0"/>
      <w:r w:rsidR="00DE222E">
        <w:rPr>
          <w:rFonts w:hint="eastAsia"/>
          <w:rtl/>
        </w:rPr>
        <w:t>ב</w:t>
      </w:r>
      <w:r w:rsidR="00DE222E">
        <w:rPr>
          <w:rtl/>
        </w:rPr>
        <w:t xml:space="preserve">' בשבט </w:t>
      </w:r>
      <w:proofErr w:type="spellStart"/>
      <w:r w:rsidR="00DE222E">
        <w:rPr>
          <w:rtl/>
        </w:rPr>
        <w:t>התשפ"ו</w:t>
      </w:r>
      <w:proofErr w:type="spellEnd"/>
      <w:r w:rsidR="00DE222E">
        <w:rPr>
          <w:rtl/>
        </w:rPr>
        <w:br/>
        <w:t>20 בינואר 2026</w:t>
      </w:r>
    </w:p>
    <w:p w14:paraId="1AEFF0B8" w14:textId="77777777" w:rsidR="00DE222E" w:rsidRDefault="00DE222E" w:rsidP="00D13CCC">
      <w:pPr>
        <w:spacing w:before="0" w:after="0" w:line="276" w:lineRule="auto"/>
        <w:ind w:left="5795"/>
        <w:jc w:val="left"/>
        <w:rPr>
          <w:rtl/>
        </w:rPr>
      </w:pPr>
      <w:bookmarkStart w:id="1" w:name="Adding01"/>
      <w:bookmarkEnd w:id="1"/>
      <w:r>
        <w:rPr>
          <w:rFonts w:hint="eastAsia"/>
          <w:rtl/>
        </w:rPr>
        <w:t>חוזר</w:t>
      </w:r>
      <w:r>
        <w:rPr>
          <w:rtl/>
        </w:rPr>
        <w:t xml:space="preserve"> העת - תעריפים עדכון</w:t>
      </w:r>
      <w:r>
        <w:rPr>
          <w:rtl/>
        </w:rPr>
        <w:br/>
        <w:t>2026-4-1</w:t>
      </w:r>
    </w:p>
    <w:p w14:paraId="45313C11" w14:textId="77777777" w:rsidR="00851D4A" w:rsidRDefault="00851D4A" w:rsidP="00851D4A">
      <w:pPr>
        <w:rPr>
          <w:rtl/>
        </w:rPr>
      </w:pPr>
    </w:p>
    <w:p w14:paraId="0D76CFBA" w14:textId="77777777" w:rsidR="00F868B1" w:rsidRDefault="00F868B1" w:rsidP="00F868B1">
      <w:pPr>
        <w:rPr>
          <w:rtl/>
        </w:rPr>
      </w:pPr>
      <w:r w:rsidRPr="00963945">
        <w:rPr>
          <w:rtl/>
        </w:rPr>
        <w:t>אל:</w:t>
      </w:r>
      <w:r w:rsidRPr="00963945">
        <w:rPr>
          <w:rFonts w:hint="cs"/>
          <w:rtl/>
        </w:rPr>
        <w:t xml:space="preserve"> </w:t>
      </w:r>
      <w:r>
        <w:rPr>
          <w:rFonts w:hint="cs"/>
          <w:rtl/>
        </w:rPr>
        <w:t>מר אלי ביתן - סגן החשב הכללי, משרד האוצר</w:t>
      </w:r>
    </w:p>
    <w:p w14:paraId="220BD675" w14:textId="77777777" w:rsidR="00F868B1" w:rsidRPr="00963945" w:rsidRDefault="00F868B1" w:rsidP="00F868B1">
      <w:pPr>
        <w:ind w:firstLine="368"/>
        <w:rPr>
          <w:rtl/>
        </w:rPr>
      </w:pPr>
      <w:r>
        <w:rPr>
          <w:rFonts w:hint="cs"/>
          <w:rtl/>
        </w:rPr>
        <w:t>המעסיקים במגזר הציבורי</w:t>
      </w:r>
    </w:p>
    <w:p w14:paraId="3B2F0FB6" w14:textId="77777777" w:rsidR="00F868B1" w:rsidRPr="00963945" w:rsidRDefault="00F868B1" w:rsidP="00F868B1">
      <w:pPr>
        <w:tabs>
          <w:tab w:val="left" w:pos="3486"/>
          <w:tab w:val="left" w:pos="5896"/>
        </w:tabs>
        <w:jc w:val="center"/>
        <w:rPr>
          <w:rtl/>
        </w:rPr>
      </w:pPr>
    </w:p>
    <w:p w14:paraId="177A7E5B" w14:textId="30F5A6BF" w:rsidR="00F868B1" w:rsidRPr="00963945" w:rsidRDefault="00F868B1" w:rsidP="00F868B1">
      <w:pPr>
        <w:tabs>
          <w:tab w:val="left" w:pos="753"/>
        </w:tabs>
        <w:ind w:left="651" w:hanging="651"/>
        <w:jc w:val="center"/>
        <w:rPr>
          <w:b/>
          <w:bCs/>
          <w:u w:val="single"/>
          <w:rtl/>
        </w:rPr>
      </w:pPr>
      <w:r w:rsidRPr="00963945">
        <w:rPr>
          <w:rFonts w:hint="cs"/>
          <w:rtl/>
        </w:rPr>
        <w:t>הנדון :</w:t>
      </w:r>
      <w:r w:rsidRPr="00963945">
        <w:rPr>
          <w:rtl/>
        </w:rPr>
        <w:tab/>
      </w:r>
      <w:bookmarkStart w:id="2" w:name="About"/>
      <w:bookmarkEnd w:id="2"/>
      <w:r w:rsidR="00DE222E">
        <w:rPr>
          <w:b/>
          <w:bCs/>
          <w:u w:val="single"/>
          <w:rtl/>
        </w:rPr>
        <w:t xml:space="preserve">הסכמי המסגרת לשנים 2013-2017 - עדכון תוספת השכר </w:t>
      </w:r>
      <w:proofErr w:type="spellStart"/>
      <w:r w:rsidR="00DE222E">
        <w:rPr>
          <w:b/>
          <w:bCs/>
          <w:u w:val="single"/>
          <w:rtl/>
        </w:rPr>
        <w:t>השקלית</w:t>
      </w:r>
      <w:proofErr w:type="spellEnd"/>
      <w:r w:rsidR="00DE222E">
        <w:rPr>
          <w:b/>
          <w:bCs/>
          <w:u w:val="single"/>
          <w:rtl/>
        </w:rPr>
        <w:t xml:space="preserve"> בעקבות עליית מדד המחירים לצרכן </w:t>
      </w:r>
    </w:p>
    <w:p w14:paraId="514E163D" w14:textId="7B56DC11" w:rsidR="00F868B1" w:rsidRDefault="00DE222E" w:rsidP="00F868B1">
      <w:pPr>
        <w:spacing w:line="276" w:lineRule="auto"/>
        <w:ind w:left="651"/>
        <w:jc w:val="center"/>
        <w:rPr>
          <w:rtl/>
        </w:rPr>
      </w:pPr>
      <w:bookmarkStart w:id="3" w:name="reference"/>
      <w:bookmarkEnd w:id="3"/>
      <w:r>
        <w:rPr>
          <w:rtl/>
        </w:rPr>
        <w:t>הסכמי המסגרת מיום 18.4.2016</w:t>
      </w:r>
      <w:r>
        <w:rPr>
          <w:rtl/>
        </w:rPr>
        <w:br/>
        <w:t>תיקון להסכמי מסגרת מיום 8.8.2016</w:t>
      </w:r>
      <w:r>
        <w:rPr>
          <w:rtl/>
        </w:rPr>
        <w:br/>
        <w:t xml:space="preserve">תיקון להסכם המסגרת מיום 9.1.2018 </w:t>
      </w:r>
    </w:p>
    <w:p w14:paraId="3BB8104E" w14:textId="77777777" w:rsidR="00F868B1" w:rsidRDefault="00F868B1" w:rsidP="00F868B1">
      <w:pPr>
        <w:ind w:left="651"/>
        <w:rPr>
          <w:rtl/>
        </w:rPr>
      </w:pPr>
      <w:bookmarkStart w:id="4" w:name="start"/>
      <w:bookmarkEnd w:id="4"/>
    </w:p>
    <w:p w14:paraId="1F565AA0" w14:textId="77777777" w:rsidR="00F868B1" w:rsidRPr="0089130E" w:rsidRDefault="00F868B1" w:rsidP="00F868B1">
      <w:pPr>
        <w:ind w:left="651"/>
        <w:rPr>
          <w:rtl/>
        </w:rPr>
      </w:pPr>
      <w:r>
        <w:rPr>
          <w:rFonts w:hint="cs"/>
          <w:rtl/>
        </w:rPr>
        <w:t>בתאריך 18.4.2016 נחתמו הסכמים קיבוצי (מסגרת) בין מעסיקים במגזר הציבורי ובין הסתדרות העובדים הכללית החדשה.</w:t>
      </w:r>
      <w:r w:rsidRPr="006777DD">
        <w:rPr>
          <w:rFonts w:hint="cs"/>
          <w:rtl/>
        </w:rPr>
        <w:t xml:space="preserve"> </w:t>
      </w:r>
    </w:p>
    <w:p w14:paraId="4EDF813E" w14:textId="77777777" w:rsidR="00F868B1" w:rsidRDefault="00F868B1" w:rsidP="00F868B1">
      <w:pPr>
        <w:tabs>
          <w:tab w:val="num" w:pos="1509"/>
        </w:tabs>
        <w:ind w:left="651"/>
        <w:rPr>
          <w:rtl/>
        </w:rPr>
      </w:pPr>
      <w:r>
        <w:rPr>
          <w:rFonts w:hint="cs"/>
          <w:rtl/>
        </w:rPr>
        <w:t xml:space="preserve">בהסכם הקיבוצי מיום 18.4.2016, בסעיף 10.5, נקבע כי </w:t>
      </w:r>
      <w:r w:rsidRPr="00861E86">
        <w:rPr>
          <w:rFonts w:hint="cs"/>
          <w:rtl/>
        </w:rPr>
        <w:t xml:space="preserve">החל מחודש ינואר 2017 יעודכן, אחת לשנה, בחודש ינואר, סכום התוספת </w:t>
      </w:r>
      <w:proofErr w:type="spellStart"/>
      <w:r w:rsidRPr="00861E86">
        <w:rPr>
          <w:rFonts w:hint="cs"/>
          <w:rtl/>
        </w:rPr>
        <w:t>השקלית</w:t>
      </w:r>
      <w:proofErr w:type="spellEnd"/>
      <w:r w:rsidRPr="00861E86">
        <w:rPr>
          <w:rFonts w:hint="cs"/>
          <w:rtl/>
        </w:rPr>
        <w:t xml:space="preserve"> </w:t>
      </w:r>
      <w:r>
        <w:rPr>
          <w:rFonts w:hint="cs"/>
          <w:rtl/>
        </w:rPr>
        <w:t xml:space="preserve">שישולם לדירוגים השונים, </w:t>
      </w:r>
      <w:r w:rsidRPr="00861E86">
        <w:rPr>
          <w:rFonts w:hint="cs"/>
          <w:rtl/>
        </w:rPr>
        <w:t>לפי שיעור עליית מדד ה</w:t>
      </w:r>
      <w:r>
        <w:rPr>
          <w:rFonts w:hint="cs"/>
          <w:rtl/>
        </w:rPr>
        <w:t>מחירים לצרכן במהלך השנה</w:t>
      </w:r>
      <w:r w:rsidRPr="00861E86">
        <w:rPr>
          <w:rFonts w:hint="cs"/>
          <w:rtl/>
        </w:rPr>
        <w:t>.</w:t>
      </w:r>
      <w:r>
        <w:rPr>
          <w:rFonts w:hint="cs"/>
          <w:rtl/>
        </w:rPr>
        <w:t xml:space="preserve"> כן נקבע כי אם בשנה מסוימת שיעור השינוי במדד יהיה שלילי, ידחה העדכון למועד בו ניתן יהיה לבצע עדכון חיובי תוך קיזוז מלוא העדכון השלילי, על פי חישוב לפי שיעור עליית המדד החדש לעומת המדד הקודם האחרון ששימש לעדכון התוספת.</w:t>
      </w:r>
    </w:p>
    <w:p w14:paraId="6F6E0E8C" w14:textId="77777777" w:rsidR="00F868B1" w:rsidRDefault="00F868B1" w:rsidP="00F868B1">
      <w:pPr>
        <w:tabs>
          <w:tab w:val="num" w:pos="1509"/>
        </w:tabs>
        <w:ind w:left="651"/>
        <w:rPr>
          <w:rtl/>
        </w:rPr>
      </w:pPr>
      <w:r>
        <w:rPr>
          <w:rFonts w:hint="cs"/>
          <w:rtl/>
        </w:rPr>
        <w:t>סעיף דומה נקבע גם בהסכמים לדירוגים הפארה רפואיים, לחלק מהדירוגים הרפואיים ולפסיכולוגים, לאחים ולאחיות ולדירוגים נוספים המפורטים בחוזר זה.</w:t>
      </w:r>
      <w:r w:rsidRPr="00861E86">
        <w:rPr>
          <w:rFonts w:hint="cs"/>
          <w:rtl/>
        </w:rPr>
        <w:t xml:space="preserve"> </w:t>
      </w:r>
    </w:p>
    <w:p w14:paraId="6C3107B1" w14:textId="77777777" w:rsidR="00F868B1" w:rsidRDefault="00F868B1" w:rsidP="00F868B1">
      <w:pPr>
        <w:tabs>
          <w:tab w:val="num" w:pos="1509"/>
        </w:tabs>
        <w:ind w:left="651"/>
        <w:rPr>
          <w:rtl/>
        </w:rPr>
      </w:pPr>
    </w:p>
    <w:p w14:paraId="300114CD" w14:textId="77777777" w:rsidR="00F868B1" w:rsidRPr="00EE3083" w:rsidRDefault="00F868B1" w:rsidP="00F868B1">
      <w:pPr>
        <w:ind w:left="651"/>
        <w:rPr>
          <w:b/>
          <w:bCs/>
          <w:rtl/>
        </w:rPr>
      </w:pPr>
      <w:r w:rsidRPr="00EE3083">
        <w:rPr>
          <w:rFonts w:hint="cs"/>
          <w:b/>
          <w:bCs/>
          <w:rtl/>
        </w:rPr>
        <w:t>מבדיקתנו עולה כי שיעור השינוי בין מדד חודש דצמבר 20</w:t>
      </w:r>
      <w:r>
        <w:rPr>
          <w:rFonts w:hint="cs"/>
          <w:b/>
          <w:bCs/>
          <w:rtl/>
        </w:rPr>
        <w:t>24</w:t>
      </w:r>
      <w:r w:rsidRPr="00EE3083">
        <w:rPr>
          <w:rFonts w:hint="cs"/>
          <w:b/>
          <w:bCs/>
          <w:rtl/>
        </w:rPr>
        <w:t xml:space="preserve"> למדד חודש דצמבר </w:t>
      </w:r>
      <w:r>
        <w:rPr>
          <w:rFonts w:hint="cs"/>
          <w:b/>
          <w:bCs/>
          <w:rtl/>
        </w:rPr>
        <w:t>2025</w:t>
      </w:r>
      <w:r w:rsidRPr="00EE3083">
        <w:rPr>
          <w:rFonts w:hint="cs"/>
          <w:b/>
          <w:bCs/>
          <w:rtl/>
        </w:rPr>
        <w:t xml:space="preserve"> הינו בשיעור של </w:t>
      </w:r>
      <w:r>
        <w:rPr>
          <w:rFonts w:hint="cs"/>
          <w:b/>
          <w:bCs/>
          <w:rtl/>
        </w:rPr>
        <w:t>2.644%.</w:t>
      </w:r>
    </w:p>
    <w:p w14:paraId="3487CDEC" w14:textId="77777777" w:rsidR="00F868B1" w:rsidRDefault="00F868B1" w:rsidP="00F868B1">
      <w:pPr>
        <w:ind w:left="651"/>
        <w:rPr>
          <w:rtl/>
        </w:rPr>
      </w:pPr>
    </w:p>
    <w:p w14:paraId="58F39B38" w14:textId="77777777" w:rsidR="00F868B1" w:rsidRDefault="00F868B1" w:rsidP="00F868B1">
      <w:pPr>
        <w:ind w:left="651"/>
        <w:rPr>
          <w:rtl/>
        </w:rPr>
      </w:pPr>
    </w:p>
    <w:p w14:paraId="14968DEF" w14:textId="77777777" w:rsidR="00F868B1" w:rsidRDefault="00F868B1" w:rsidP="00F868B1">
      <w:pPr>
        <w:ind w:left="651"/>
        <w:rPr>
          <w:rtl/>
        </w:rPr>
      </w:pPr>
    </w:p>
    <w:p w14:paraId="6ECFD473" w14:textId="77777777" w:rsidR="00F868B1" w:rsidRDefault="00F868B1" w:rsidP="00F868B1">
      <w:pPr>
        <w:ind w:left="651"/>
        <w:rPr>
          <w:rtl/>
        </w:rPr>
      </w:pPr>
    </w:p>
    <w:p w14:paraId="36163CAF" w14:textId="77777777" w:rsidR="00F868B1" w:rsidRPr="00963945" w:rsidRDefault="00F868B1" w:rsidP="00F868B1">
      <w:pPr>
        <w:ind w:left="651"/>
        <w:rPr>
          <w:rtl/>
        </w:rPr>
      </w:pPr>
      <w:r>
        <w:rPr>
          <w:rFonts w:hint="cs"/>
          <w:rtl/>
        </w:rPr>
        <w:lastRenderedPageBreak/>
        <w:t xml:space="preserve">להלן עדכון התוספת </w:t>
      </w:r>
      <w:proofErr w:type="spellStart"/>
      <w:r>
        <w:rPr>
          <w:rFonts w:hint="cs"/>
          <w:rtl/>
        </w:rPr>
        <w:t>השקלית</w:t>
      </w:r>
      <w:proofErr w:type="spellEnd"/>
      <w:r>
        <w:rPr>
          <w:rFonts w:hint="cs"/>
          <w:rtl/>
        </w:rPr>
        <w:t xml:space="preserve"> לדירוגים הבאים, בשיעור האמור:</w:t>
      </w:r>
    </w:p>
    <w:p w14:paraId="0E22D7A0" w14:textId="77777777" w:rsidR="00F868B1" w:rsidRDefault="00F868B1" w:rsidP="00F868B1">
      <w:pPr>
        <w:numPr>
          <w:ilvl w:val="0"/>
          <w:numId w:val="8"/>
        </w:numPr>
        <w:spacing w:before="0" w:after="0" w:line="240" w:lineRule="auto"/>
      </w:pPr>
      <w:r>
        <w:rPr>
          <w:rFonts w:hint="cs"/>
          <w:rtl/>
        </w:rPr>
        <w:t>להלן סכום תוספת שקלית 2016 לכל דירוג, החל מיום 1.1.2026, מפורט לפי מעסיקים:</w:t>
      </w:r>
    </w:p>
    <w:p w14:paraId="69B6C4A1" w14:textId="77777777" w:rsidR="00F868B1" w:rsidRPr="0089130E" w:rsidRDefault="00F868B1" w:rsidP="00F868B1"/>
    <w:tbl>
      <w:tblPr>
        <w:bidiVisual/>
        <w:tblW w:w="8645"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1406"/>
        <w:gridCol w:w="4392"/>
        <w:gridCol w:w="1277"/>
        <w:gridCol w:w="1561"/>
      </w:tblGrid>
      <w:tr w:rsidR="00F868B1" w14:paraId="6C64E988" w14:textId="77777777" w:rsidTr="006E3232">
        <w:tc>
          <w:tcPr>
            <w:tcW w:w="1415" w:type="dxa"/>
            <w:gridSpan w:val="2"/>
            <w:shd w:val="clear" w:color="auto" w:fill="auto"/>
          </w:tcPr>
          <w:p w14:paraId="23A23479" w14:textId="77777777" w:rsidR="00F868B1" w:rsidRPr="002F3BFD" w:rsidRDefault="00F868B1" w:rsidP="006E3232">
            <w:pPr>
              <w:pStyle w:val="a7"/>
              <w:spacing w:line="240" w:lineRule="auto"/>
              <w:ind w:left="0"/>
              <w:rPr>
                <w:b/>
                <w:bCs/>
                <w:sz w:val="26"/>
                <w:rtl/>
              </w:rPr>
            </w:pPr>
            <w:r w:rsidRPr="002F3BFD">
              <w:rPr>
                <w:rFonts w:hint="cs"/>
                <w:b/>
                <w:bCs/>
                <w:sz w:val="26"/>
                <w:rtl/>
              </w:rPr>
              <w:t>שם הדירוג</w:t>
            </w:r>
          </w:p>
        </w:tc>
        <w:tc>
          <w:tcPr>
            <w:tcW w:w="4392" w:type="dxa"/>
            <w:shd w:val="clear" w:color="auto" w:fill="auto"/>
          </w:tcPr>
          <w:p w14:paraId="20C3D396" w14:textId="77777777" w:rsidR="00F868B1" w:rsidRPr="002F3BFD" w:rsidRDefault="00F868B1" w:rsidP="006E3232">
            <w:pPr>
              <w:pStyle w:val="a7"/>
              <w:spacing w:line="240" w:lineRule="auto"/>
              <w:ind w:left="0"/>
              <w:rPr>
                <w:b/>
                <w:bCs/>
                <w:sz w:val="26"/>
                <w:rtl/>
              </w:rPr>
            </w:pPr>
            <w:r>
              <w:rPr>
                <w:rFonts w:hint="cs"/>
                <w:b/>
                <w:bCs/>
                <w:sz w:val="26"/>
                <w:rtl/>
              </w:rPr>
              <w:t>שם המעסיקים</w:t>
            </w:r>
          </w:p>
        </w:tc>
        <w:tc>
          <w:tcPr>
            <w:tcW w:w="1277" w:type="dxa"/>
            <w:shd w:val="clear" w:color="auto" w:fill="auto"/>
          </w:tcPr>
          <w:p w14:paraId="1398DBDD" w14:textId="77777777" w:rsidR="00F868B1" w:rsidRPr="002F3BFD" w:rsidRDefault="00F868B1" w:rsidP="006E3232">
            <w:pPr>
              <w:pStyle w:val="a7"/>
              <w:spacing w:line="240" w:lineRule="auto"/>
              <w:ind w:left="0"/>
              <w:jc w:val="left"/>
              <w:rPr>
                <w:b/>
                <w:bCs/>
                <w:sz w:val="26"/>
                <w:rtl/>
              </w:rPr>
            </w:pPr>
            <w:r>
              <w:rPr>
                <w:rFonts w:hint="cs"/>
                <w:b/>
                <w:bCs/>
                <w:sz w:val="26"/>
                <w:rtl/>
              </w:rPr>
              <w:t xml:space="preserve">סכום </w:t>
            </w:r>
            <w:r w:rsidRPr="002F3BFD">
              <w:rPr>
                <w:rFonts w:hint="cs"/>
                <w:b/>
                <w:bCs/>
                <w:sz w:val="26"/>
                <w:rtl/>
              </w:rPr>
              <w:t xml:space="preserve">תוספת </w:t>
            </w:r>
            <w:r>
              <w:rPr>
                <w:rFonts w:hint="cs"/>
                <w:b/>
                <w:bCs/>
                <w:sz w:val="26"/>
                <w:rtl/>
              </w:rPr>
              <w:t>שקלית</w:t>
            </w:r>
            <w:r w:rsidRPr="002F3BFD">
              <w:rPr>
                <w:rFonts w:hint="cs"/>
                <w:b/>
                <w:bCs/>
                <w:sz w:val="26"/>
                <w:rtl/>
              </w:rPr>
              <w:t xml:space="preserve"> 2016</w:t>
            </w:r>
            <w:r>
              <w:rPr>
                <w:rFonts w:hint="cs"/>
                <w:b/>
                <w:bCs/>
                <w:sz w:val="26"/>
                <w:rtl/>
              </w:rPr>
              <w:t xml:space="preserve"> עד יום 31.12.2025 בש"ח </w:t>
            </w:r>
          </w:p>
        </w:tc>
        <w:tc>
          <w:tcPr>
            <w:tcW w:w="1561" w:type="dxa"/>
          </w:tcPr>
          <w:p w14:paraId="6A3773DE" w14:textId="77777777" w:rsidR="00F868B1" w:rsidRDefault="00F868B1" w:rsidP="006E3232">
            <w:pPr>
              <w:pStyle w:val="a7"/>
              <w:spacing w:line="240" w:lineRule="auto"/>
              <w:ind w:left="0"/>
              <w:jc w:val="left"/>
              <w:rPr>
                <w:b/>
                <w:bCs/>
                <w:sz w:val="26"/>
                <w:rtl/>
              </w:rPr>
            </w:pPr>
            <w:r>
              <w:rPr>
                <w:rFonts w:hint="cs"/>
                <w:b/>
                <w:bCs/>
                <w:sz w:val="26"/>
                <w:rtl/>
              </w:rPr>
              <w:t xml:space="preserve">סכום התוספת </w:t>
            </w:r>
            <w:proofErr w:type="spellStart"/>
            <w:r>
              <w:rPr>
                <w:rFonts w:hint="cs"/>
                <w:b/>
                <w:bCs/>
                <w:sz w:val="26"/>
                <w:rtl/>
              </w:rPr>
              <w:t>השקלית</w:t>
            </w:r>
            <w:proofErr w:type="spellEnd"/>
            <w:r>
              <w:rPr>
                <w:rFonts w:hint="cs"/>
                <w:b/>
                <w:bCs/>
                <w:sz w:val="26"/>
                <w:rtl/>
              </w:rPr>
              <w:t xml:space="preserve"> 2016 החל מיום 1.1.2026 בש"ח</w:t>
            </w:r>
          </w:p>
        </w:tc>
      </w:tr>
      <w:tr w:rsidR="00F868B1" w14:paraId="6B772B46" w14:textId="77777777" w:rsidTr="006E3232">
        <w:trPr>
          <w:trHeight w:val="598"/>
        </w:trPr>
        <w:tc>
          <w:tcPr>
            <w:tcW w:w="1415" w:type="dxa"/>
            <w:gridSpan w:val="2"/>
            <w:shd w:val="clear" w:color="auto" w:fill="auto"/>
          </w:tcPr>
          <w:p w14:paraId="765FF718" w14:textId="77777777" w:rsidR="00F868B1" w:rsidRPr="00550525" w:rsidRDefault="00F868B1" w:rsidP="006E3232">
            <w:pPr>
              <w:pStyle w:val="a7"/>
              <w:spacing w:line="240" w:lineRule="auto"/>
              <w:ind w:left="0"/>
              <w:rPr>
                <w:b/>
                <w:bCs/>
                <w:sz w:val="26"/>
                <w:rtl/>
              </w:rPr>
            </w:pPr>
            <w:proofErr w:type="spellStart"/>
            <w:r w:rsidRPr="00550525">
              <w:rPr>
                <w:rFonts w:hint="cs"/>
                <w:b/>
                <w:bCs/>
                <w:sz w:val="26"/>
                <w:rtl/>
              </w:rPr>
              <w:t>מינהלי</w:t>
            </w:r>
            <w:proofErr w:type="spellEnd"/>
            <w:r w:rsidRPr="00550525">
              <w:rPr>
                <w:rFonts w:hint="cs"/>
                <w:b/>
                <w:bCs/>
                <w:sz w:val="26"/>
                <w:rtl/>
              </w:rPr>
              <w:t>/</w:t>
            </w:r>
            <w:proofErr w:type="spellStart"/>
            <w:r w:rsidRPr="00550525">
              <w:rPr>
                <w:rFonts w:hint="cs"/>
                <w:b/>
                <w:bCs/>
                <w:sz w:val="26"/>
                <w:rtl/>
              </w:rPr>
              <w:t>מינהל</w:t>
            </w:r>
            <w:proofErr w:type="spellEnd"/>
            <w:r w:rsidRPr="00550525">
              <w:rPr>
                <w:rFonts w:hint="cs"/>
                <w:b/>
                <w:bCs/>
                <w:sz w:val="26"/>
                <w:rtl/>
              </w:rPr>
              <w:t xml:space="preserve"> </w:t>
            </w:r>
            <w:proofErr w:type="spellStart"/>
            <w:r w:rsidRPr="00550525">
              <w:rPr>
                <w:rFonts w:hint="cs"/>
                <w:b/>
                <w:bCs/>
                <w:sz w:val="26"/>
                <w:rtl/>
              </w:rPr>
              <w:t>ושרותים</w:t>
            </w:r>
            <w:proofErr w:type="spellEnd"/>
            <w:r w:rsidRPr="00550525">
              <w:rPr>
                <w:rFonts w:hint="cs"/>
                <w:b/>
                <w:bCs/>
                <w:sz w:val="26"/>
                <w:rtl/>
              </w:rPr>
              <w:t xml:space="preserve"> במגזר הציבורי</w:t>
            </w:r>
          </w:p>
        </w:tc>
        <w:tc>
          <w:tcPr>
            <w:tcW w:w="4392" w:type="dxa"/>
            <w:shd w:val="clear" w:color="auto" w:fill="auto"/>
          </w:tcPr>
          <w:p w14:paraId="5A975B1D" w14:textId="77777777" w:rsidR="00F868B1" w:rsidRDefault="00F868B1" w:rsidP="006E3232">
            <w:pPr>
              <w:pStyle w:val="a7"/>
              <w:spacing w:line="240" w:lineRule="auto"/>
              <w:ind w:left="0"/>
              <w:rPr>
                <w:sz w:val="26"/>
                <w:rtl/>
              </w:rPr>
            </w:pPr>
            <w:r>
              <w:rPr>
                <w:rFonts w:hint="cs"/>
                <w:sz w:val="26"/>
                <w:rtl/>
              </w:rPr>
              <w:t>שירות המדינה</w:t>
            </w:r>
            <w:r w:rsidRPr="007D2574">
              <w:rPr>
                <w:rFonts w:hint="cs"/>
                <w:rtl/>
              </w:rPr>
              <w:t xml:space="preserve"> </w:t>
            </w:r>
            <w:r>
              <w:rPr>
                <w:rFonts w:hint="cs"/>
                <w:rtl/>
              </w:rPr>
              <w:t>(כולל משרד הביטחון ול</w:t>
            </w:r>
            <w:r w:rsidRPr="00861E86">
              <w:rPr>
                <w:rFonts w:hint="cs"/>
                <w:rtl/>
              </w:rPr>
              <w:t>רבות המפעלים הביטחוניים בכל הנוגע לעובדים המדורגים באותו דירוג והמיוצגים על ידי ההסתדרות</w:t>
            </w:r>
            <w:r>
              <w:rPr>
                <w:rFonts w:hint="cs"/>
                <w:rtl/>
              </w:rPr>
              <w:t xml:space="preserve"> (להלן בטבלה: "</w:t>
            </w:r>
            <w:r w:rsidRPr="00D962DE">
              <w:rPr>
                <w:rFonts w:hint="cs"/>
                <w:b/>
                <w:bCs/>
                <w:rtl/>
              </w:rPr>
              <w:t>המדינה</w:t>
            </w:r>
            <w:r>
              <w:rPr>
                <w:rFonts w:hint="cs"/>
                <w:rtl/>
              </w:rPr>
              <w:t>")</w:t>
            </w:r>
            <w:r>
              <w:rPr>
                <w:rFonts w:hint="cs"/>
                <w:sz w:val="26"/>
                <w:rtl/>
              </w:rPr>
              <w:t xml:space="preserve">); </w:t>
            </w:r>
          </w:p>
          <w:p w14:paraId="7B8F4A10" w14:textId="77777777" w:rsidR="00F868B1" w:rsidRDefault="00F868B1" w:rsidP="006E3232">
            <w:pPr>
              <w:pStyle w:val="a7"/>
              <w:spacing w:line="240" w:lineRule="auto"/>
              <w:ind w:left="0"/>
              <w:rPr>
                <w:sz w:val="26"/>
                <w:rtl/>
              </w:rPr>
            </w:pPr>
            <w:r>
              <w:rPr>
                <w:rFonts w:hint="cs"/>
                <w:sz w:val="26"/>
                <w:rtl/>
              </w:rPr>
              <w:t>המוסד לביטוח לאומי (להלן בטבלה: "</w:t>
            </w:r>
            <w:r w:rsidRPr="00D962DE">
              <w:rPr>
                <w:rFonts w:hint="cs"/>
                <w:b/>
                <w:bCs/>
                <w:sz w:val="26"/>
                <w:rtl/>
              </w:rPr>
              <w:t>ביטוח לאומי</w:t>
            </w:r>
            <w:r>
              <w:rPr>
                <w:rFonts w:hint="cs"/>
                <w:sz w:val="26"/>
                <w:rtl/>
              </w:rPr>
              <w:t xml:space="preserve">"); שירות התעסוקה; </w:t>
            </w:r>
          </w:p>
          <w:p w14:paraId="4319428C" w14:textId="77777777" w:rsidR="00F868B1" w:rsidRDefault="00F868B1" w:rsidP="006E3232">
            <w:pPr>
              <w:pStyle w:val="a7"/>
              <w:spacing w:line="240" w:lineRule="auto"/>
              <w:ind w:left="0"/>
              <w:rPr>
                <w:sz w:val="26"/>
                <w:rtl/>
              </w:rPr>
            </w:pPr>
            <w:r>
              <w:rPr>
                <w:rFonts w:hint="cs"/>
                <w:sz w:val="26"/>
                <w:rtl/>
              </w:rPr>
              <w:t>בית החולים בני ציון (להלן בטבלה: "</w:t>
            </w:r>
            <w:r w:rsidRPr="00D962DE">
              <w:rPr>
                <w:rFonts w:hint="cs"/>
                <w:b/>
                <w:bCs/>
                <w:sz w:val="26"/>
                <w:rtl/>
              </w:rPr>
              <w:t>בני ציון</w:t>
            </w:r>
            <w:r>
              <w:rPr>
                <w:rFonts w:hint="cs"/>
                <w:sz w:val="26"/>
                <w:rtl/>
              </w:rPr>
              <w:t xml:space="preserve">"); </w:t>
            </w:r>
          </w:p>
          <w:p w14:paraId="3B1ABCB7" w14:textId="77777777" w:rsidR="00F868B1" w:rsidRDefault="00F868B1" w:rsidP="006E3232">
            <w:pPr>
              <w:pStyle w:val="a7"/>
              <w:spacing w:line="240" w:lineRule="auto"/>
              <w:ind w:left="0"/>
              <w:rPr>
                <w:sz w:val="26"/>
                <w:rtl/>
              </w:rPr>
            </w:pPr>
            <w:r>
              <w:rPr>
                <w:rFonts w:hint="cs"/>
                <w:sz w:val="26"/>
                <w:rtl/>
              </w:rPr>
              <w:t xml:space="preserve">המרכז הרפואי תל אביב </w:t>
            </w:r>
            <w:proofErr w:type="spellStart"/>
            <w:r>
              <w:rPr>
                <w:rFonts w:hint="cs"/>
                <w:sz w:val="26"/>
                <w:rtl/>
              </w:rPr>
              <w:t>סוראסקי</w:t>
            </w:r>
            <w:proofErr w:type="spellEnd"/>
            <w:r>
              <w:rPr>
                <w:rFonts w:hint="cs"/>
                <w:sz w:val="26"/>
                <w:rtl/>
              </w:rPr>
              <w:t xml:space="preserve"> (להלן בטבלה: "</w:t>
            </w:r>
            <w:r w:rsidRPr="00D962DE">
              <w:rPr>
                <w:rFonts w:hint="cs"/>
                <w:b/>
                <w:bCs/>
                <w:sz w:val="26"/>
                <w:rtl/>
              </w:rPr>
              <w:t>איכילוב</w:t>
            </w:r>
            <w:r>
              <w:rPr>
                <w:rFonts w:hint="cs"/>
                <w:sz w:val="26"/>
                <w:rtl/>
              </w:rPr>
              <w:t>")</w:t>
            </w:r>
          </w:p>
          <w:p w14:paraId="0BC699BE" w14:textId="77777777" w:rsidR="00F868B1" w:rsidRPr="00644A6E" w:rsidRDefault="00F868B1" w:rsidP="006E3232">
            <w:pPr>
              <w:pStyle w:val="a7"/>
              <w:spacing w:line="240" w:lineRule="auto"/>
              <w:ind w:left="0"/>
              <w:rPr>
                <w:sz w:val="26"/>
                <w:rtl/>
              </w:rPr>
            </w:pPr>
            <w:r>
              <w:rPr>
                <w:rFonts w:hint="cs"/>
                <w:sz w:val="26"/>
                <w:rtl/>
              </w:rPr>
              <w:t>הסתדרות מדיצינית הדסה (להלן בטבלה: "</w:t>
            </w:r>
            <w:r w:rsidRPr="00D81717">
              <w:rPr>
                <w:rFonts w:hint="cs"/>
                <w:b/>
                <w:bCs/>
                <w:sz w:val="26"/>
                <w:rtl/>
              </w:rPr>
              <w:t>הדסה</w:t>
            </w:r>
            <w:r>
              <w:rPr>
                <w:rFonts w:hint="cs"/>
                <w:sz w:val="26"/>
                <w:rtl/>
              </w:rPr>
              <w:t>")</w:t>
            </w:r>
          </w:p>
        </w:tc>
        <w:tc>
          <w:tcPr>
            <w:tcW w:w="1277" w:type="dxa"/>
            <w:shd w:val="clear" w:color="auto" w:fill="auto"/>
          </w:tcPr>
          <w:p w14:paraId="5D04B8A8" w14:textId="77777777" w:rsidR="00F868B1" w:rsidRPr="005B4C44" w:rsidRDefault="00F868B1" w:rsidP="006E3232">
            <w:pPr>
              <w:bidi w:val="0"/>
              <w:jc w:val="center"/>
              <w:rPr>
                <w:szCs w:val="24"/>
              </w:rPr>
            </w:pPr>
            <w:r w:rsidRPr="005D0B9D">
              <w:t>346.88</w:t>
            </w:r>
          </w:p>
        </w:tc>
        <w:tc>
          <w:tcPr>
            <w:tcW w:w="1561" w:type="dxa"/>
          </w:tcPr>
          <w:p w14:paraId="192CEC6F" w14:textId="77777777" w:rsidR="00F868B1" w:rsidRPr="00EF1752" w:rsidRDefault="00F868B1" w:rsidP="006E3232">
            <w:pPr>
              <w:bidi w:val="0"/>
              <w:jc w:val="center"/>
              <w:rPr>
                <w:sz w:val="22"/>
                <w:szCs w:val="24"/>
              </w:rPr>
            </w:pPr>
            <w:r w:rsidRPr="005D0B9D">
              <w:t>356.05</w:t>
            </w:r>
          </w:p>
        </w:tc>
      </w:tr>
      <w:tr w:rsidR="00F868B1" w14:paraId="093C3886" w14:textId="77777777" w:rsidTr="006E3232">
        <w:tc>
          <w:tcPr>
            <w:tcW w:w="1415" w:type="dxa"/>
            <w:gridSpan w:val="2"/>
            <w:shd w:val="clear" w:color="auto" w:fill="auto"/>
          </w:tcPr>
          <w:p w14:paraId="55C40B2C" w14:textId="77777777" w:rsidR="00F868B1" w:rsidRPr="00550525" w:rsidRDefault="00F868B1" w:rsidP="006E3232">
            <w:pPr>
              <w:pStyle w:val="a7"/>
              <w:spacing w:line="240" w:lineRule="auto"/>
              <w:ind w:left="0"/>
              <w:rPr>
                <w:b/>
                <w:bCs/>
                <w:sz w:val="26"/>
                <w:rtl/>
              </w:rPr>
            </w:pPr>
            <w:r w:rsidRPr="00550525">
              <w:rPr>
                <w:rFonts w:hint="cs"/>
                <w:b/>
                <w:bCs/>
                <w:sz w:val="26"/>
                <w:rtl/>
              </w:rPr>
              <w:t xml:space="preserve">עיתונאים </w:t>
            </w:r>
            <w:proofErr w:type="spellStart"/>
            <w:r w:rsidRPr="00550525">
              <w:rPr>
                <w:rFonts w:hint="cs"/>
                <w:b/>
                <w:bCs/>
                <w:sz w:val="26"/>
                <w:rtl/>
              </w:rPr>
              <w:t>ומח"ר</w:t>
            </w:r>
            <w:proofErr w:type="spellEnd"/>
            <w:r w:rsidRPr="00550525">
              <w:rPr>
                <w:rFonts w:hint="cs"/>
                <w:b/>
                <w:bCs/>
                <w:sz w:val="26"/>
                <w:rtl/>
              </w:rPr>
              <w:t xml:space="preserve"> (למעט פסיכולוגים)</w:t>
            </w:r>
          </w:p>
        </w:tc>
        <w:tc>
          <w:tcPr>
            <w:tcW w:w="4392" w:type="dxa"/>
            <w:shd w:val="clear" w:color="auto" w:fill="auto"/>
          </w:tcPr>
          <w:p w14:paraId="5CED82CE" w14:textId="77777777" w:rsidR="00F868B1" w:rsidRDefault="00F868B1" w:rsidP="006E3232">
            <w:pPr>
              <w:pStyle w:val="a7"/>
              <w:spacing w:line="240" w:lineRule="auto"/>
              <w:ind w:left="0"/>
              <w:rPr>
                <w:sz w:val="26"/>
                <w:rtl/>
              </w:rPr>
            </w:pPr>
            <w:r>
              <w:rPr>
                <w:rFonts w:hint="cs"/>
                <w:sz w:val="26"/>
                <w:rtl/>
              </w:rPr>
              <w:t xml:space="preserve">המדינה; ביטוח לאומי; שירות התעסוקה; בני ציון; </w:t>
            </w:r>
          </w:p>
          <w:p w14:paraId="1EC0014A" w14:textId="77777777" w:rsidR="00F868B1" w:rsidRPr="00644A6E" w:rsidRDefault="00F868B1" w:rsidP="006E3232">
            <w:pPr>
              <w:pStyle w:val="a7"/>
              <w:spacing w:line="240" w:lineRule="auto"/>
              <w:ind w:left="0"/>
              <w:rPr>
                <w:sz w:val="26"/>
                <w:rtl/>
              </w:rPr>
            </w:pPr>
            <w:r>
              <w:rPr>
                <w:rFonts w:hint="cs"/>
                <w:sz w:val="26"/>
                <w:rtl/>
              </w:rPr>
              <w:t>איכילוב; הדסה</w:t>
            </w:r>
          </w:p>
        </w:tc>
        <w:tc>
          <w:tcPr>
            <w:tcW w:w="1277" w:type="dxa"/>
            <w:shd w:val="clear" w:color="auto" w:fill="auto"/>
          </w:tcPr>
          <w:p w14:paraId="46FE2F4D" w14:textId="77777777" w:rsidR="00F868B1" w:rsidRPr="005B4C44" w:rsidRDefault="00F868B1" w:rsidP="006E3232">
            <w:pPr>
              <w:bidi w:val="0"/>
              <w:jc w:val="center"/>
              <w:rPr>
                <w:szCs w:val="24"/>
              </w:rPr>
            </w:pPr>
            <w:r w:rsidRPr="005D0B9D">
              <w:t>425.95</w:t>
            </w:r>
          </w:p>
        </w:tc>
        <w:tc>
          <w:tcPr>
            <w:tcW w:w="1561" w:type="dxa"/>
          </w:tcPr>
          <w:p w14:paraId="20697863" w14:textId="77777777" w:rsidR="00F868B1" w:rsidRPr="00EF1752" w:rsidRDefault="00F868B1" w:rsidP="006E3232">
            <w:pPr>
              <w:bidi w:val="0"/>
              <w:jc w:val="center"/>
              <w:rPr>
                <w:sz w:val="22"/>
                <w:szCs w:val="24"/>
              </w:rPr>
            </w:pPr>
            <w:r w:rsidRPr="005D0B9D">
              <w:t>437.21</w:t>
            </w:r>
          </w:p>
        </w:tc>
      </w:tr>
      <w:tr w:rsidR="00F868B1" w14:paraId="6E8A4BDA" w14:textId="77777777" w:rsidTr="006E3232">
        <w:tc>
          <w:tcPr>
            <w:tcW w:w="1415" w:type="dxa"/>
            <w:gridSpan w:val="2"/>
            <w:shd w:val="clear" w:color="auto" w:fill="auto"/>
          </w:tcPr>
          <w:p w14:paraId="665115E3" w14:textId="77777777" w:rsidR="00F868B1" w:rsidRPr="00550525" w:rsidRDefault="00F868B1" w:rsidP="006E3232">
            <w:pPr>
              <w:pStyle w:val="a7"/>
              <w:spacing w:line="240" w:lineRule="auto"/>
              <w:ind w:left="0"/>
              <w:rPr>
                <w:b/>
                <w:bCs/>
                <w:sz w:val="26"/>
                <w:rtl/>
              </w:rPr>
            </w:pPr>
            <w:r w:rsidRPr="00550525">
              <w:rPr>
                <w:rFonts w:hint="cs"/>
                <w:b/>
                <w:bCs/>
                <w:sz w:val="26"/>
                <w:rtl/>
              </w:rPr>
              <w:t>מהנדסים</w:t>
            </w:r>
          </w:p>
        </w:tc>
        <w:tc>
          <w:tcPr>
            <w:tcW w:w="4392" w:type="dxa"/>
            <w:shd w:val="clear" w:color="auto" w:fill="auto"/>
          </w:tcPr>
          <w:p w14:paraId="4FC1A1EC" w14:textId="77777777" w:rsidR="00F868B1" w:rsidRDefault="00F868B1" w:rsidP="006E3232">
            <w:pPr>
              <w:pStyle w:val="a7"/>
              <w:spacing w:line="240" w:lineRule="auto"/>
              <w:ind w:left="0"/>
              <w:rPr>
                <w:sz w:val="26"/>
                <w:rtl/>
              </w:rPr>
            </w:pPr>
            <w:r>
              <w:rPr>
                <w:rFonts w:hint="cs"/>
                <w:sz w:val="26"/>
                <w:rtl/>
              </w:rPr>
              <w:t xml:space="preserve">המדינה; ביטוח לאומי; שירות התעסוקה; בני ציון; </w:t>
            </w:r>
          </w:p>
          <w:p w14:paraId="526DA942" w14:textId="77777777" w:rsidR="00F868B1" w:rsidRDefault="00F868B1" w:rsidP="006E3232">
            <w:pPr>
              <w:pStyle w:val="a7"/>
              <w:spacing w:line="240" w:lineRule="auto"/>
              <w:ind w:left="0"/>
              <w:rPr>
                <w:sz w:val="26"/>
                <w:rtl/>
              </w:rPr>
            </w:pPr>
            <w:r>
              <w:rPr>
                <w:rFonts w:hint="cs"/>
                <w:sz w:val="26"/>
                <w:rtl/>
              </w:rPr>
              <w:t xml:space="preserve">איכילוב; </w:t>
            </w:r>
            <w:r w:rsidRPr="000A08E1">
              <w:rPr>
                <w:rFonts w:hint="cs"/>
                <w:sz w:val="26"/>
                <w:rtl/>
              </w:rPr>
              <w:t>הדסה</w:t>
            </w:r>
          </w:p>
        </w:tc>
        <w:tc>
          <w:tcPr>
            <w:tcW w:w="1277" w:type="dxa"/>
            <w:shd w:val="clear" w:color="auto" w:fill="auto"/>
          </w:tcPr>
          <w:p w14:paraId="5403309A" w14:textId="77777777" w:rsidR="00F868B1" w:rsidRPr="005B4C44" w:rsidRDefault="00F868B1" w:rsidP="006E3232">
            <w:pPr>
              <w:bidi w:val="0"/>
              <w:jc w:val="center"/>
              <w:rPr>
                <w:szCs w:val="24"/>
              </w:rPr>
            </w:pPr>
            <w:r w:rsidRPr="005D0B9D">
              <w:t>512.68</w:t>
            </w:r>
          </w:p>
        </w:tc>
        <w:tc>
          <w:tcPr>
            <w:tcW w:w="1561" w:type="dxa"/>
          </w:tcPr>
          <w:p w14:paraId="196C65CE" w14:textId="77777777" w:rsidR="00F868B1" w:rsidRPr="00EF1752" w:rsidRDefault="00F868B1" w:rsidP="006E3232">
            <w:pPr>
              <w:bidi w:val="0"/>
              <w:jc w:val="center"/>
              <w:rPr>
                <w:sz w:val="22"/>
                <w:szCs w:val="24"/>
              </w:rPr>
            </w:pPr>
            <w:r w:rsidRPr="005D0B9D">
              <w:t>526.24</w:t>
            </w:r>
          </w:p>
        </w:tc>
      </w:tr>
      <w:tr w:rsidR="00F868B1" w14:paraId="55D22CAA" w14:textId="77777777" w:rsidTr="006E3232">
        <w:trPr>
          <w:gridBefore w:val="1"/>
          <w:wBefore w:w="9" w:type="dxa"/>
        </w:trPr>
        <w:tc>
          <w:tcPr>
            <w:tcW w:w="1406" w:type="dxa"/>
            <w:shd w:val="clear" w:color="auto" w:fill="auto"/>
          </w:tcPr>
          <w:p w14:paraId="4A8CD6FE" w14:textId="77777777" w:rsidR="00F868B1" w:rsidRPr="00550525" w:rsidRDefault="00F868B1" w:rsidP="006E3232">
            <w:pPr>
              <w:pStyle w:val="a7"/>
              <w:spacing w:line="240" w:lineRule="auto"/>
              <w:ind w:left="0"/>
              <w:rPr>
                <w:b/>
                <w:bCs/>
                <w:sz w:val="26"/>
                <w:rtl/>
              </w:rPr>
            </w:pPr>
            <w:r w:rsidRPr="00550525">
              <w:rPr>
                <w:rFonts w:hint="cs"/>
                <w:b/>
                <w:bCs/>
                <w:sz w:val="26"/>
                <w:rtl/>
              </w:rPr>
              <w:t>הנדסאים וטכנאים</w:t>
            </w:r>
          </w:p>
        </w:tc>
        <w:tc>
          <w:tcPr>
            <w:tcW w:w="4392" w:type="dxa"/>
            <w:shd w:val="clear" w:color="auto" w:fill="auto"/>
          </w:tcPr>
          <w:p w14:paraId="18209E3A" w14:textId="77777777" w:rsidR="00F868B1" w:rsidRDefault="00F868B1" w:rsidP="006E3232">
            <w:pPr>
              <w:pStyle w:val="a7"/>
              <w:spacing w:line="240" w:lineRule="auto"/>
              <w:ind w:left="0"/>
              <w:rPr>
                <w:sz w:val="26"/>
                <w:rtl/>
              </w:rPr>
            </w:pPr>
            <w:r>
              <w:rPr>
                <w:rFonts w:hint="cs"/>
                <w:sz w:val="26"/>
                <w:rtl/>
              </w:rPr>
              <w:t xml:space="preserve">המדינה; ביטוח לאומי; שירות התעסוקה; בני ציון; </w:t>
            </w:r>
          </w:p>
          <w:p w14:paraId="3662C347" w14:textId="77777777" w:rsidR="00F868B1" w:rsidRDefault="00F868B1" w:rsidP="006E3232">
            <w:pPr>
              <w:pStyle w:val="a7"/>
              <w:spacing w:line="240" w:lineRule="auto"/>
              <w:ind w:left="0"/>
              <w:rPr>
                <w:sz w:val="26"/>
                <w:rtl/>
              </w:rPr>
            </w:pPr>
            <w:r>
              <w:rPr>
                <w:rFonts w:hint="cs"/>
                <w:sz w:val="26"/>
                <w:rtl/>
              </w:rPr>
              <w:t>איכילוב; הדסה</w:t>
            </w:r>
          </w:p>
        </w:tc>
        <w:tc>
          <w:tcPr>
            <w:tcW w:w="1277" w:type="dxa"/>
            <w:shd w:val="clear" w:color="auto" w:fill="auto"/>
          </w:tcPr>
          <w:p w14:paraId="05EA5B14" w14:textId="77777777" w:rsidR="00F868B1" w:rsidRPr="005B4C44" w:rsidRDefault="00F868B1" w:rsidP="006E3232">
            <w:pPr>
              <w:bidi w:val="0"/>
              <w:jc w:val="center"/>
              <w:rPr>
                <w:szCs w:val="24"/>
              </w:rPr>
            </w:pPr>
            <w:r w:rsidRPr="005D0B9D">
              <w:t>573.8</w:t>
            </w:r>
          </w:p>
        </w:tc>
        <w:tc>
          <w:tcPr>
            <w:tcW w:w="1561" w:type="dxa"/>
          </w:tcPr>
          <w:p w14:paraId="0AB4D168" w14:textId="77777777" w:rsidR="00F868B1" w:rsidRPr="00EF1752" w:rsidRDefault="00F868B1" w:rsidP="006E3232">
            <w:pPr>
              <w:bidi w:val="0"/>
              <w:jc w:val="center"/>
              <w:rPr>
                <w:sz w:val="22"/>
                <w:szCs w:val="24"/>
              </w:rPr>
            </w:pPr>
            <w:r w:rsidRPr="005D0B9D">
              <w:t>588.97</w:t>
            </w:r>
          </w:p>
        </w:tc>
      </w:tr>
      <w:tr w:rsidR="00F868B1" w14:paraId="74B76007" w14:textId="77777777" w:rsidTr="006E3232">
        <w:trPr>
          <w:gridBefore w:val="1"/>
          <w:wBefore w:w="9" w:type="dxa"/>
        </w:trPr>
        <w:tc>
          <w:tcPr>
            <w:tcW w:w="1406" w:type="dxa"/>
            <w:shd w:val="clear" w:color="auto" w:fill="auto"/>
          </w:tcPr>
          <w:p w14:paraId="7B086433" w14:textId="77777777" w:rsidR="00F868B1" w:rsidRPr="00550525" w:rsidRDefault="00F868B1" w:rsidP="006E3232">
            <w:pPr>
              <w:pStyle w:val="a7"/>
              <w:spacing w:line="240" w:lineRule="auto"/>
              <w:ind w:left="0"/>
              <w:rPr>
                <w:b/>
                <w:bCs/>
                <w:sz w:val="26"/>
                <w:rtl/>
              </w:rPr>
            </w:pPr>
            <w:r w:rsidRPr="00550525">
              <w:rPr>
                <w:rFonts w:hint="cs"/>
                <w:b/>
                <w:bCs/>
                <w:sz w:val="26"/>
                <w:rtl/>
              </w:rPr>
              <w:t>השרות המשפטי (משפטנים)</w:t>
            </w:r>
          </w:p>
        </w:tc>
        <w:tc>
          <w:tcPr>
            <w:tcW w:w="4392" w:type="dxa"/>
            <w:shd w:val="clear" w:color="auto" w:fill="auto"/>
          </w:tcPr>
          <w:p w14:paraId="0BF8EEB1" w14:textId="77777777" w:rsidR="00F868B1" w:rsidRDefault="00F868B1" w:rsidP="006E3232">
            <w:pPr>
              <w:pStyle w:val="a7"/>
              <w:spacing w:line="240" w:lineRule="auto"/>
              <w:ind w:left="0"/>
              <w:rPr>
                <w:sz w:val="26"/>
                <w:rtl/>
              </w:rPr>
            </w:pPr>
            <w:r>
              <w:rPr>
                <w:rFonts w:hint="cs"/>
                <w:sz w:val="26"/>
                <w:rtl/>
              </w:rPr>
              <w:t xml:space="preserve">המדינה; ביטוח לאומי; שירות התעסוקה; </w:t>
            </w:r>
          </w:p>
          <w:p w14:paraId="67E9C102" w14:textId="77777777" w:rsidR="00F868B1" w:rsidRDefault="00F868B1" w:rsidP="006E3232">
            <w:pPr>
              <w:pStyle w:val="a7"/>
              <w:spacing w:line="240" w:lineRule="auto"/>
              <w:ind w:left="0"/>
              <w:rPr>
                <w:sz w:val="26"/>
                <w:rtl/>
              </w:rPr>
            </w:pPr>
            <w:r>
              <w:rPr>
                <w:rFonts w:hint="cs"/>
                <w:sz w:val="26"/>
                <w:rtl/>
              </w:rPr>
              <w:t>מרכז השלטון המקומי; שלוש הערים הגדולות (כולל איכילוב ובני ציון); מרכז המועצות האזוריות</w:t>
            </w:r>
          </w:p>
          <w:p w14:paraId="0D9E5939" w14:textId="77777777" w:rsidR="00F868B1" w:rsidRDefault="00F868B1" w:rsidP="006E3232">
            <w:pPr>
              <w:pStyle w:val="a7"/>
              <w:spacing w:line="240" w:lineRule="auto"/>
              <w:ind w:left="0"/>
              <w:rPr>
                <w:sz w:val="26"/>
                <w:rtl/>
              </w:rPr>
            </w:pPr>
            <w:r>
              <w:rPr>
                <w:rFonts w:hint="cs"/>
                <w:sz w:val="26"/>
                <w:rtl/>
              </w:rPr>
              <w:t xml:space="preserve">הדסה; שרותי בריאות כללית; </w:t>
            </w:r>
          </w:p>
        </w:tc>
        <w:tc>
          <w:tcPr>
            <w:tcW w:w="1277" w:type="dxa"/>
            <w:shd w:val="clear" w:color="auto" w:fill="auto"/>
          </w:tcPr>
          <w:p w14:paraId="0ED19DFA" w14:textId="77777777" w:rsidR="00F868B1" w:rsidRPr="005B4C44" w:rsidRDefault="00F868B1" w:rsidP="006E3232">
            <w:pPr>
              <w:bidi w:val="0"/>
              <w:jc w:val="center"/>
              <w:rPr>
                <w:szCs w:val="24"/>
              </w:rPr>
            </w:pPr>
            <w:r w:rsidRPr="005D0B9D">
              <w:t>593.65</w:t>
            </w:r>
          </w:p>
        </w:tc>
        <w:tc>
          <w:tcPr>
            <w:tcW w:w="1561" w:type="dxa"/>
          </w:tcPr>
          <w:p w14:paraId="1AA63120" w14:textId="77777777" w:rsidR="00F868B1" w:rsidRPr="00EF1752" w:rsidRDefault="00F868B1" w:rsidP="006E3232">
            <w:pPr>
              <w:bidi w:val="0"/>
              <w:jc w:val="center"/>
              <w:rPr>
                <w:sz w:val="22"/>
                <w:szCs w:val="24"/>
              </w:rPr>
            </w:pPr>
            <w:r w:rsidRPr="005D0B9D">
              <w:t>609.35</w:t>
            </w:r>
          </w:p>
        </w:tc>
      </w:tr>
      <w:tr w:rsidR="00F868B1" w14:paraId="14DE0631" w14:textId="77777777" w:rsidTr="006E3232">
        <w:trPr>
          <w:gridBefore w:val="1"/>
          <w:wBefore w:w="9" w:type="dxa"/>
        </w:trPr>
        <w:tc>
          <w:tcPr>
            <w:tcW w:w="1406" w:type="dxa"/>
            <w:shd w:val="clear" w:color="auto" w:fill="auto"/>
          </w:tcPr>
          <w:p w14:paraId="39EBF0B8" w14:textId="77777777" w:rsidR="00F868B1" w:rsidRPr="00550525" w:rsidRDefault="00F868B1" w:rsidP="006E3232">
            <w:pPr>
              <w:pStyle w:val="a7"/>
              <w:spacing w:line="240" w:lineRule="auto"/>
              <w:ind w:left="0"/>
              <w:rPr>
                <w:b/>
                <w:bCs/>
                <w:sz w:val="26"/>
                <w:rtl/>
              </w:rPr>
            </w:pPr>
            <w:r w:rsidRPr="00550525">
              <w:rPr>
                <w:rFonts w:hint="cs"/>
                <w:b/>
                <w:bCs/>
                <w:sz w:val="26"/>
                <w:rtl/>
              </w:rPr>
              <w:t>מפקחים ימיים</w:t>
            </w:r>
          </w:p>
        </w:tc>
        <w:tc>
          <w:tcPr>
            <w:tcW w:w="4392" w:type="dxa"/>
            <w:shd w:val="clear" w:color="auto" w:fill="auto"/>
          </w:tcPr>
          <w:p w14:paraId="2B7E8635" w14:textId="77777777" w:rsidR="00F868B1" w:rsidRDefault="00F868B1" w:rsidP="006E3232">
            <w:pPr>
              <w:pStyle w:val="a7"/>
              <w:spacing w:line="240" w:lineRule="auto"/>
              <w:ind w:left="0"/>
              <w:rPr>
                <w:sz w:val="26"/>
                <w:rtl/>
              </w:rPr>
            </w:pPr>
            <w:r>
              <w:rPr>
                <w:rFonts w:hint="cs"/>
                <w:sz w:val="26"/>
                <w:rtl/>
              </w:rPr>
              <w:t>המדינה</w:t>
            </w:r>
          </w:p>
        </w:tc>
        <w:tc>
          <w:tcPr>
            <w:tcW w:w="1277" w:type="dxa"/>
            <w:shd w:val="clear" w:color="auto" w:fill="auto"/>
          </w:tcPr>
          <w:p w14:paraId="2FEF5E0C" w14:textId="77777777" w:rsidR="00F868B1" w:rsidRPr="005B4C44" w:rsidRDefault="00F868B1" w:rsidP="006E3232">
            <w:pPr>
              <w:jc w:val="center"/>
              <w:rPr>
                <w:szCs w:val="24"/>
              </w:rPr>
            </w:pPr>
            <w:r w:rsidRPr="005D0B9D">
              <w:t>1,473.46</w:t>
            </w:r>
          </w:p>
        </w:tc>
        <w:tc>
          <w:tcPr>
            <w:tcW w:w="1561" w:type="dxa"/>
          </w:tcPr>
          <w:p w14:paraId="0CF7AE15" w14:textId="77777777" w:rsidR="00F868B1" w:rsidRPr="002C2D96" w:rsidRDefault="00F868B1" w:rsidP="006E3232">
            <w:pPr>
              <w:bidi w:val="0"/>
              <w:jc w:val="center"/>
              <w:rPr>
                <w:sz w:val="28"/>
                <w:szCs w:val="28"/>
              </w:rPr>
            </w:pPr>
            <w:r w:rsidRPr="005D0B9D">
              <w:t>1512.42</w:t>
            </w:r>
          </w:p>
        </w:tc>
      </w:tr>
    </w:tbl>
    <w:p w14:paraId="24A03FDF" w14:textId="77777777" w:rsidR="00F868B1" w:rsidRDefault="00F868B1" w:rsidP="00F868B1">
      <w:pPr>
        <w:rPr>
          <w:rtl/>
        </w:rPr>
      </w:pPr>
    </w:p>
    <w:p w14:paraId="32BF1F16" w14:textId="77777777" w:rsidR="00F868B1" w:rsidRDefault="00F868B1" w:rsidP="00F868B1">
      <w:pPr>
        <w:rPr>
          <w:rtl/>
        </w:rPr>
      </w:pPr>
    </w:p>
    <w:p w14:paraId="691856FF" w14:textId="77777777" w:rsidR="00F868B1" w:rsidRDefault="00F868B1" w:rsidP="00F868B1">
      <w:pPr>
        <w:rPr>
          <w:rtl/>
        </w:rPr>
      </w:pPr>
    </w:p>
    <w:p w14:paraId="65CE63D4" w14:textId="77777777" w:rsidR="00F868B1" w:rsidRDefault="00F868B1" w:rsidP="00F868B1">
      <w:pPr>
        <w:rPr>
          <w:rtl/>
        </w:rPr>
      </w:pPr>
    </w:p>
    <w:p w14:paraId="39D8AB23" w14:textId="77777777" w:rsidR="00F868B1" w:rsidRDefault="00F868B1" w:rsidP="00F868B1">
      <w:pPr>
        <w:rPr>
          <w:rtl/>
        </w:rPr>
      </w:pPr>
    </w:p>
    <w:p w14:paraId="482A1F80" w14:textId="77777777" w:rsidR="00F868B1" w:rsidRDefault="00F868B1" w:rsidP="00F868B1">
      <w:pPr>
        <w:rPr>
          <w:rtl/>
        </w:rPr>
      </w:pPr>
    </w:p>
    <w:p w14:paraId="13075DC6" w14:textId="77777777" w:rsidR="00F868B1" w:rsidRDefault="00F868B1" w:rsidP="00F868B1">
      <w:pPr>
        <w:rPr>
          <w:rtl/>
        </w:rPr>
      </w:pPr>
    </w:p>
    <w:p w14:paraId="1CA53A77" w14:textId="77777777" w:rsidR="00F868B1" w:rsidRDefault="00F868B1" w:rsidP="00F868B1">
      <w:pPr>
        <w:rPr>
          <w:rtl/>
        </w:rPr>
      </w:pPr>
    </w:p>
    <w:p w14:paraId="09C0B04A" w14:textId="77777777" w:rsidR="00F868B1" w:rsidRDefault="00F868B1" w:rsidP="00F868B1">
      <w:pPr>
        <w:rPr>
          <w:rtl/>
        </w:rPr>
      </w:pPr>
      <w:r>
        <w:rPr>
          <w:rFonts w:hint="cs"/>
          <w:rtl/>
        </w:rPr>
        <w:t>המשך הטבלה מהעמוד הקודם:</w:t>
      </w:r>
    </w:p>
    <w:tbl>
      <w:tblPr>
        <w:bidiVisual/>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512"/>
        <w:gridCol w:w="1387"/>
        <w:gridCol w:w="1520"/>
      </w:tblGrid>
      <w:tr w:rsidR="00F868B1" w14:paraId="65595FA0" w14:textId="77777777" w:rsidTr="006E3232">
        <w:tc>
          <w:tcPr>
            <w:tcW w:w="1814" w:type="dxa"/>
            <w:tcBorders>
              <w:top w:val="single" w:sz="4" w:space="0" w:color="auto"/>
              <w:left w:val="single" w:sz="4" w:space="0" w:color="auto"/>
              <w:bottom w:val="single" w:sz="4" w:space="0" w:color="auto"/>
              <w:right w:val="single" w:sz="4" w:space="0" w:color="auto"/>
            </w:tcBorders>
            <w:shd w:val="clear" w:color="auto" w:fill="auto"/>
          </w:tcPr>
          <w:p w14:paraId="4037BE2E" w14:textId="77777777" w:rsidR="00F868B1" w:rsidRPr="00BE4D57" w:rsidRDefault="00F868B1" w:rsidP="006E3232">
            <w:pPr>
              <w:pStyle w:val="a7"/>
              <w:spacing w:line="240" w:lineRule="auto"/>
              <w:ind w:left="0"/>
              <w:rPr>
                <w:b/>
                <w:bCs/>
                <w:sz w:val="26"/>
                <w:rtl/>
              </w:rPr>
            </w:pPr>
            <w:r w:rsidRPr="00BE4D57">
              <w:rPr>
                <w:rFonts w:hint="cs"/>
                <w:b/>
                <w:bCs/>
                <w:sz w:val="26"/>
                <w:rtl/>
              </w:rPr>
              <w:t>שם הדירוג</w:t>
            </w:r>
          </w:p>
        </w:tc>
        <w:tc>
          <w:tcPr>
            <w:tcW w:w="3512" w:type="dxa"/>
            <w:tcBorders>
              <w:top w:val="single" w:sz="4" w:space="0" w:color="auto"/>
              <w:left w:val="single" w:sz="4" w:space="0" w:color="auto"/>
              <w:bottom w:val="single" w:sz="4" w:space="0" w:color="auto"/>
              <w:right w:val="single" w:sz="4" w:space="0" w:color="auto"/>
            </w:tcBorders>
            <w:shd w:val="clear" w:color="auto" w:fill="auto"/>
          </w:tcPr>
          <w:p w14:paraId="3587C680" w14:textId="77777777" w:rsidR="00F868B1" w:rsidRPr="00BE4D57" w:rsidRDefault="00F868B1" w:rsidP="006E3232">
            <w:pPr>
              <w:pStyle w:val="a7"/>
              <w:spacing w:line="240" w:lineRule="auto"/>
              <w:ind w:left="0"/>
              <w:rPr>
                <w:b/>
                <w:bCs/>
                <w:sz w:val="26"/>
                <w:rtl/>
              </w:rPr>
            </w:pPr>
            <w:r w:rsidRPr="00BE4D57">
              <w:rPr>
                <w:rFonts w:hint="cs"/>
                <w:b/>
                <w:bCs/>
                <w:sz w:val="26"/>
                <w:rtl/>
              </w:rPr>
              <w:t>שם המעסיקים</w:t>
            </w:r>
          </w:p>
        </w:tc>
        <w:tc>
          <w:tcPr>
            <w:tcW w:w="1387" w:type="dxa"/>
            <w:tcBorders>
              <w:top w:val="single" w:sz="4" w:space="0" w:color="auto"/>
              <w:left w:val="single" w:sz="4" w:space="0" w:color="auto"/>
              <w:bottom w:val="single" w:sz="4" w:space="0" w:color="auto"/>
              <w:right w:val="single" w:sz="4" w:space="0" w:color="auto"/>
            </w:tcBorders>
            <w:shd w:val="clear" w:color="auto" w:fill="auto"/>
          </w:tcPr>
          <w:p w14:paraId="34D6E388" w14:textId="77777777" w:rsidR="00F868B1" w:rsidRPr="00BE4D57" w:rsidRDefault="00F868B1" w:rsidP="006E3232">
            <w:pPr>
              <w:pStyle w:val="a7"/>
              <w:spacing w:line="240" w:lineRule="auto"/>
              <w:ind w:left="0"/>
              <w:jc w:val="left"/>
              <w:rPr>
                <w:b/>
                <w:bCs/>
                <w:sz w:val="26"/>
                <w:rtl/>
              </w:rPr>
            </w:pPr>
            <w:r w:rsidRPr="00BE4D57">
              <w:rPr>
                <w:rFonts w:hint="cs"/>
                <w:b/>
                <w:bCs/>
                <w:sz w:val="26"/>
                <w:rtl/>
              </w:rPr>
              <w:t xml:space="preserve">סכום תוספת שקלית 2016 </w:t>
            </w:r>
            <w:r>
              <w:rPr>
                <w:rFonts w:hint="cs"/>
                <w:b/>
                <w:bCs/>
                <w:sz w:val="26"/>
                <w:rtl/>
              </w:rPr>
              <w:t>עד יום</w:t>
            </w:r>
            <w:r w:rsidRPr="00BE4D57">
              <w:rPr>
                <w:rFonts w:hint="cs"/>
                <w:b/>
                <w:bCs/>
                <w:sz w:val="26"/>
                <w:rtl/>
              </w:rPr>
              <w:t xml:space="preserve"> </w:t>
            </w:r>
            <w:r>
              <w:rPr>
                <w:rFonts w:hint="cs"/>
                <w:b/>
                <w:bCs/>
                <w:sz w:val="26"/>
                <w:rtl/>
              </w:rPr>
              <w:t>31</w:t>
            </w:r>
            <w:r w:rsidRPr="00BE4D57">
              <w:rPr>
                <w:rFonts w:hint="cs"/>
                <w:b/>
                <w:bCs/>
                <w:sz w:val="26"/>
                <w:rtl/>
              </w:rPr>
              <w:t>.</w:t>
            </w:r>
            <w:r>
              <w:rPr>
                <w:rFonts w:hint="cs"/>
                <w:b/>
                <w:bCs/>
                <w:sz w:val="26"/>
                <w:rtl/>
              </w:rPr>
              <w:t>12</w:t>
            </w:r>
            <w:r w:rsidRPr="00BE4D57">
              <w:rPr>
                <w:rFonts w:hint="cs"/>
                <w:b/>
                <w:bCs/>
                <w:sz w:val="26"/>
                <w:rtl/>
              </w:rPr>
              <w:t>.20</w:t>
            </w:r>
            <w:r>
              <w:rPr>
                <w:rFonts w:hint="cs"/>
                <w:b/>
                <w:bCs/>
                <w:sz w:val="26"/>
                <w:rtl/>
              </w:rPr>
              <w:t>25</w:t>
            </w:r>
            <w:r w:rsidRPr="00BE4D57">
              <w:rPr>
                <w:rFonts w:hint="cs"/>
                <w:b/>
                <w:bCs/>
                <w:sz w:val="26"/>
                <w:rtl/>
              </w:rPr>
              <w:t xml:space="preserve"> בש"ח</w:t>
            </w:r>
          </w:p>
        </w:tc>
        <w:tc>
          <w:tcPr>
            <w:tcW w:w="1520" w:type="dxa"/>
            <w:tcBorders>
              <w:top w:val="single" w:sz="4" w:space="0" w:color="auto"/>
              <w:left w:val="single" w:sz="4" w:space="0" w:color="auto"/>
              <w:bottom w:val="single" w:sz="4" w:space="0" w:color="auto"/>
              <w:right w:val="single" w:sz="4" w:space="0" w:color="auto"/>
            </w:tcBorders>
          </w:tcPr>
          <w:p w14:paraId="32E3B9BD" w14:textId="77777777" w:rsidR="00F868B1" w:rsidRPr="00BE4D57" w:rsidRDefault="00F868B1" w:rsidP="006E3232">
            <w:pPr>
              <w:pStyle w:val="a7"/>
              <w:spacing w:line="240" w:lineRule="auto"/>
              <w:ind w:left="0"/>
              <w:jc w:val="left"/>
              <w:rPr>
                <w:b/>
                <w:bCs/>
                <w:sz w:val="26"/>
                <w:rtl/>
              </w:rPr>
            </w:pPr>
            <w:r w:rsidRPr="00BE4D57">
              <w:rPr>
                <w:rFonts w:hint="cs"/>
                <w:b/>
                <w:bCs/>
                <w:sz w:val="26"/>
                <w:rtl/>
              </w:rPr>
              <w:t xml:space="preserve">סכום התוספת </w:t>
            </w:r>
            <w:proofErr w:type="spellStart"/>
            <w:r w:rsidRPr="00BE4D57">
              <w:rPr>
                <w:rFonts w:hint="cs"/>
                <w:b/>
                <w:bCs/>
                <w:sz w:val="26"/>
                <w:rtl/>
              </w:rPr>
              <w:t>השקלית</w:t>
            </w:r>
            <w:proofErr w:type="spellEnd"/>
            <w:r w:rsidRPr="00BE4D57">
              <w:rPr>
                <w:rFonts w:hint="cs"/>
                <w:b/>
                <w:bCs/>
                <w:sz w:val="26"/>
                <w:rtl/>
              </w:rPr>
              <w:t xml:space="preserve"> 2016 החל מיום 1.1.20</w:t>
            </w:r>
            <w:r>
              <w:rPr>
                <w:rFonts w:hint="cs"/>
                <w:b/>
                <w:bCs/>
                <w:sz w:val="26"/>
                <w:rtl/>
              </w:rPr>
              <w:t>26</w:t>
            </w:r>
            <w:r w:rsidRPr="00BE4D57">
              <w:rPr>
                <w:rFonts w:hint="cs"/>
                <w:b/>
                <w:bCs/>
                <w:sz w:val="26"/>
                <w:rtl/>
              </w:rPr>
              <w:t xml:space="preserve"> בש"ח</w:t>
            </w:r>
          </w:p>
        </w:tc>
      </w:tr>
      <w:tr w:rsidR="00F868B1" w14:paraId="07B8AFD9" w14:textId="77777777" w:rsidTr="006E3232">
        <w:tc>
          <w:tcPr>
            <w:tcW w:w="1814" w:type="dxa"/>
            <w:shd w:val="clear" w:color="auto" w:fill="auto"/>
          </w:tcPr>
          <w:p w14:paraId="30B66068" w14:textId="77777777" w:rsidR="00F868B1" w:rsidRPr="00550525" w:rsidRDefault="00F868B1" w:rsidP="006E3232">
            <w:pPr>
              <w:pStyle w:val="a7"/>
              <w:spacing w:line="240" w:lineRule="auto"/>
              <w:ind w:left="0"/>
              <w:rPr>
                <w:b/>
                <w:bCs/>
                <w:sz w:val="26"/>
                <w:rtl/>
              </w:rPr>
            </w:pPr>
            <w:proofErr w:type="spellStart"/>
            <w:r w:rsidRPr="00550525">
              <w:rPr>
                <w:rFonts w:hint="cs"/>
                <w:b/>
                <w:bCs/>
                <w:sz w:val="26"/>
                <w:rtl/>
              </w:rPr>
              <w:t>מקצ"ט</w:t>
            </w:r>
            <w:proofErr w:type="spellEnd"/>
          </w:p>
        </w:tc>
        <w:tc>
          <w:tcPr>
            <w:tcW w:w="3512" w:type="dxa"/>
            <w:shd w:val="clear" w:color="auto" w:fill="auto"/>
          </w:tcPr>
          <w:p w14:paraId="5F9D431B" w14:textId="77777777" w:rsidR="00F868B1" w:rsidRDefault="00F868B1" w:rsidP="006E3232">
            <w:pPr>
              <w:pStyle w:val="a7"/>
              <w:spacing w:line="240" w:lineRule="auto"/>
              <w:ind w:left="0"/>
              <w:rPr>
                <w:sz w:val="26"/>
                <w:rtl/>
              </w:rPr>
            </w:pPr>
            <w:r>
              <w:rPr>
                <w:rFonts w:hint="cs"/>
                <w:sz w:val="26"/>
                <w:rtl/>
              </w:rPr>
              <w:t>המדינה</w:t>
            </w:r>
          </w:p>
        </w:tc>
        <w:tc>
          <w:tcPr>
            <w:tcW w:w="1387" w:type="dxa"/>
            <w:shd w:val="clear" w:color="auto" w:fill="auto"/>
          </w:tcPr>
          <w:p w14:paraId="2F244E08" w14:textId="77777777" w:rsidR="00F868B1" w:rsidRPr="00EF1752" w:rsidRDefault="00F868B1" w:rsidP="006E3232">
            <w:pPr>
              <w:bidi w:val="0"/>
              <w:jc w:val="center"/>
              <w:rPr>
                <w:rFonts w:asciiTheme="majorBidi" w:hAnsiTheme="majorBidi" w:cstheme="majorBidi"/>
                <w:sz w:val="22"/>
                <w:szCs w:val="24"/>
              </w:rPr>
            </w:pPr>
            <w:r w:rsidRPr="008A0B7B">
              <w:t>493.65</w:t>
            </w:r>
          </w:p>
        </w:tc>
        <w:tc>
          <w:tcPr>
            <w:tcW w:w="1520" w:type="dxa"/>
          </w:tcPr>
          <w:p w14:paraId="1ED25FFA" w14:textId="77777777" w:rsidR="00F868B1" w:rsidRPr="00EF1752" w:rsidRDefault="00F868B1" w:rsidP="006E3232">
            <w:pPr>
              <w:bidi w:val="0"/>
              <w:jc w:val="center"/>
              <w:rPr>
                <w:rFonts w:asciiTheme="majorBidi" w:hAnsiTheme="majorBidi" w:cstheme="majorBidi"/>
                <w:sz w:val="22"/>
                <w:szCs w:val="24"/>
              </w:rPr>
            </w:pPr>
            <w:r w:rsidRPr="008A0B7B">
              <w:t>506.70</w:t>
            </w:r>
          </w:p>
        </w:tc>
      </w:tr>
      <w:tr w:rsidR="00F868B1" w14:paraId="6AE739EB" w14:textId="77777777" w:rsidTr="006E3232">
        <w:tc>
          <w:tcPr>
            <w:tcW w:w="1814" w:type="dxa"/>
            <w:shd w:val="clear" w:color="auto" w:fill="auto"/>
          </w:tcPr>
          <w:p w14:paraId="533EC9E2" w14:textId="77777777" w:rsidR="00F868B1" w:rsidRPr="00550525" w:rsidRDefault="00F868B1" w:rsidP="006E3232">
            <w:pPr>
              <w:pStyle w:val="a7"/>
              <w:spacing w:line="240" w:lineRule="auto"/>
              <w:ind w:left="0"/>
              <w:rPr>
                <w:b/>
                <w:bCs/>
                <w:sz w:val="26"/>
                <w:rtl/>
              </w:rPr>
            </w:pPr>
            <w:r w:rsidRPr="00550525">
              <w:rPr>
                <w:rFonts w:hint="cs"/>
                <w:b/>
                <w:bCs/>
                <w:sz w:val="26"/>
                <w:rtl/>
              </w:rPr>
              <w:t>מתמחים למשפטים</w:t>
            </w:r>
          </w:p>
        </w:tc>
        <w:tc>
          <w:tcPr>
            <w:tcW w:w="3512" w:type="dxa"/>
            <w:shd w:val="clear" w:color="auto" w:fill="auto"/>
          </w:tcPr>
          <w:p w14:paraId="2AD3C9D4" w14:textId="77777777" w:rsidR="00F868B1" w:rsidRDefault="00F868B1" w:rsidP="006E3232">
            <w:pPr>
              <w:pStyle w:val="a7"/>
              <w:spacing w:line="240" w:lineRule="auto"/>
              <w:ind w:left="0"/>
              <w:rPr>
                <w:sz w:val="26"/>
                <w:rtl/>
              </w:rPr>
            </w:pPr>
            <w:r>
              <w:rPr>
                <w:rFonts w:hint="cs"/>
                <w:sz w:val="26"/>
                <w:rtl/>
              </w:rPr>
              <w:t xml:space="preserve">המדינה; ביטוח לאומי; שירות התעסוקה; </w:t>
            </w:r>
          </w:p>
          <w:p w14:paraId="19F2A4FB" w14:textId="77777777" w:rsidR="00F868B1" w:rsidRDefault="00F868B1" w:rsidP="006E3232">
            <w:pPr>
              <w:pStyle w:val="a7"/>
              <w:spacing w:line="240" w:lineRule="auto"/>
              <w:ind w:left="0"/>
              <w:rPr>
                <w:sz w:val="26"/>
                <w:rtl/>
              </w:rPr>
            </w:pPr>
            <w:r>
              <w:rPr>
                <w:rFonts w:hint="cs"/>
                <w:sz w:val="26"/>
                <w:rtl/>
              </w:rPr>
              <w:t>מרכז השלטון המקומי; שלוש הערים הגדולות (כולל איכילוב ובני ציון); מרכז המועצות האזוריות</w:t>
            </w:r>
          </w:p>
        </w:tc>
        <w:tc>
          <w:tcPr>
            <w:tcW w:w="1387" w:type="dxa"/>
            <w:shd w:val="clear" w:color="auto" w:fill="auto"/>
          </w:tcPr>
          <w:p w14:paraId="0CAFF84B" w14:textId="77777777" w:rsidR="00F868B1" w:rsidRPr="00EF1752" w:rsidRDefault="00F868B1" w:rsidP="006E3232">
            <w:pPr>
              <w:bidi w:val="0"/>
              <w:jc w:val="center"/>
              <w:rPr>
                <w:rFonts w:asciiTheme="majorBidi" w:hAnsiTheme="majorBidi" w:cstheme="majorBidi"/>
                <w:sz w:val="22"/>
                <w:szCs w:val="24"/>
              </w:rPr>
            </w:pPr>
            <w:r w:rsidRPr="008A0B7B">
              <w:t>305.51</w:t>
            </w:r>
          </w:p>
        </w:tc>
        <w:tc>
          <w:tcPr>
            <w:tcW w:w="1520" w:type="dxa"/>
          </w:tcPr>
          <w:p w14:paraId="55D5172F" w14:textId="77777777" w:rsidR="00F868B1" w:rsidRPr="00EF1752" w:rsidRDefault="00F868B1" w:rsidP="006E3232">
            <w:pPr>
              <w:bidi w:val="0"/>
              <w:jc w:val="center"/>
              <w:rPr>
                <w:rFonts w:asciiTheme="majorBidi" w:hAnsiTheme="majorBidi" w:cstheme="majorBidi"/>
                <w:sz w:val="22"/>
                <w:szCs w:val="24"/>
              </w:rPr>
            </w:pPr>
            <w:r w:rsidRPr="008A0B7B">
              <w:t>313.59</w:t>
            </w:r>
          </w:p>
        </w:tc>
      </w:tr>
      <w:tr w:rsidR="00F868B1" w14:paraId="43AE087B" w14:textId="77777777" w:rsidTr="006E3232">
        <w:tc>
          <w:tcPr>
            <w:tcW w:w="1814" w:type="dxa"/>
            <w:shd w:val="clear" w:color="auto" w:fill="auto"/>
          </w:tcPr>
          <w:p w14:paraId="43A5D007" w14:textId="77777777" w:rsidR="00F868B1" w:rsidRPr="00550525" w:rsidRDefault="00F868B1" w:rsidP="006E3232">
            <w:pPr>
              <w:pStyle w:val="a7"/>
              <w:spacing w:line="240" w:lineRule="auto"/>
              <w:ind w:left="0"/>
              <w:rPr>
                <w:b/>
                <w:bCs/>
                <w:sz w:val="26"/>
                <w:rtl/>
              </w:rPr>
            </w:pPr>
            <w:r w:rsidRPr="00550525">
              <w:rPr>
                <w:rFonts w:hint="cs"/>
                <w:b/>
                <w:bCs/>
                <w:sz w:val="26"/>
                <w:rtl/>
              </w:rPr>
              <w:t>סטודנטים לרפואה</w:t>
            </w:r>
          </w:p>
        </w:tc>
        <w:tc>
          <w:tcPr>
            <w:tcW w:w="3512" w:type="dxa"/>
            <w:shd w:val="clear" w:color="auto" w:fill="auto"/>
          </w:tcPr>
          <w:p w14:paraId="4B2A667F" w14:textId="77777777" w:rsidR="00F868B1" w:rsidRDefault="00F868B1" w:rsidP="006E3232">
            <w:pPr>
              <w:pStyle w:val="a7"/>
              <w:spacing w:line="240" w:lineRule="auto"/>
              <w:ind w:left="0"/>
              <w:rPr>
                <w:sz w:val="26"/>
                <w:rtl/>
              </w:rPr>
            </w:pPr>
            <w:r>
              <w:rPr>
                <w:rFonts w:hint="cs"/>
                <w:sz w:val="26"/>
                <w:rtl/>
              </w:rPr>
              <w:t xml:space="preserve">המדינה; ביטוח לאומי; שירות התעסוקה; </w:t>
            </w:r>
          </w:p>
          <w:p w14:paraId="34AAFAB1" w14:textId="77777777" w:rsidR="00F868B1" w:rsidRDefault="00F868B1" w:rsidP="006E3232">
            <w:pPr>
              <w:pStyle w:val="a7"/>
              <w:spacing w:line="240" w:lineRule="auto"/>
              <w:ind w:left="0"/>
              <w:rPr>
                <w:sz w:val="26"/>
                <w:rtl/>
              </w:rPr>
            </w:pPr>
            <w:r>
              <w:rPr>
                <w:rFonts w:hint="cs"/>
                <w:sz w:val="26"/>
                <w:rtl/>
              </w:rPr>
              <w:t>מרכז השלטון המקומי; שלוש הערים הגדולות (כולל איכילוב ובני ציון); מרכז המועצות האזוריות</w:t>
            </w:r>
          </w:p>
        </w:tc>
        <w:tc>
          <w:tcPr>
            <w:tcW w:w="1387" w:type="dxa"/>
            <w:shd w:val="clear" w:color="auto" w:fill="auto"/>
          </w:tcPr>
          <w:p w14:paraId="1E602900" w14:textId="77777777" w:rsidR="00F868B1" w:rsidRPr="00EF1752" w:rsidRDefault="00F868B1" w:rsidP="006E3232">
            <w:pPr>
              <w:bidi w:val="0"/>
              <w:jc w:val="center"/>
              <w:rPr>
                <w:rFonts w:asciiTheme="majorBidi" w:hAnsiTheme="majorBidi" w:cstheme="majorBidi"/>
                <w:sz w:val="22"/>
                <w:szCs w:val="24"/>
              </w:rPr>
            </w:pPr>
            <w:r w:rsidRPr="008A0B7B">
              <w:t>321.13</w:t>
            </w:r>
          </w:p>
        </w:tc>
        <w:tc>
          <w:tcPr>
            <w:tcW w:w="1520" w:type="dxa"/>
          </w:tcPr>
          <w:p w14:paraId="6A11B087" w14:textId="77777777" w:rsidR="00F868B1" w:rsidRPr="00EF1752" w:rsidRDefault="00F868B1" w:rsidP="006E3232">
            <w:pPr>
              <w:bidi w:val="0"/>
              <w:jc w:val="center"/>
              <w:rPr>
                <w:rFonts w:asciiTheme="majorBidi" w:hAnsiTheme="majorBidi" w:cstheme="majorBidi"/>
                <w:sz w:val="22"/>
                <w:szCs w:val="24"/>
              </w:rPr>
            </w:pPr>
            <w:r w:rsidRPr="008A0B7B">
              <w:t>329.62</w:t>
            </w:r>
          </w:p>
        </w:tc>
      </w:tr>
      <w:tr w:rsidR="00F868B1" w14:paraId="17D4FDBE" w14:textId="77777777" w:rsidTr="006E3232">
        <w:tc>
          <w:tcPr>
            <w:tcW w:w="1814" w:type="dxa"/>
            <w:shd w:val="clear" w:color="auto" w:fill="auto"/>
          </w:tcPr>
          <w:p w14:paraId="06881D92" w14:textId="77777777" w:rsidR="00F868B1" w:rsidRPr="00550525" w:rsidRDefault="00F868B1" w:rsidP="006E3232">
            <w:pPr>
              <w:pStyle w:val="a7"/>
              <w:spacing w:line="240" w:lineRule="auto"/>
              <w:ind w:left="0"/>
              <w:rPr>
                <w:b/>
                <w:bCs/>
                <w:sz w:val="26"/>
                <w:rtl/>
              </w:rPr>
            </w:pPr>
            <w:r w:rsidRPr="00550525">
              <w:rPr>
                <w:rFonts w:hint="cs"/>
                <w:b/>
                <w:bCs/>
                <w:sz w:val="26"/>
                <w:rtl/>
              </w:rPr>
              <w:t>שירות החוץ</w:t>
            </w:r>
          </w:p>
        </w:tc>
        <w:tc>
          <w:tcPr>
            <w:tcW w:w="3512" w:type="dxa"/>
            <w:shd w:val="clear" w:color="auto" w:fill="auto"/>
          </w:tcPr>
          <w:p w14:paraId="2EE31713" w14:textId="77777777" w:rsidR="00F868B1" w:rsidRDefault="00F868B1" w:rsidP="006E3232">
            <w:pPr>
              <w:pStyle w:val="a7"/>
              <w:spacing w:line="240" w:lineRule="auto"/>
              <w:ind w:left="0"/>
              <w:rPr>
                <w:sz w:val="26"/>
                <w:rtl/>
              </w:rPr>
            </w:pPr>
            <w:r>
              <w:rPr>
                <w:rFonts w:hint="cs"/>
                <w:sz w:val="26"/>
                <w:rtl/>
              </w:rPr>
              <w:t>המדינה</w:t>
            </w:r>
          </w:p>
        </w:tc>
        <w:tc>
          <w:tcPr>
            <w:tcW w:w="1387" w:type="dxa"/>
            <w:shd w:val="clear" w:color="auto" w:fill="auto"/>
          </w:tcPr>
          <w:p w14:paraId="58F8EDBF" w14:textId="77777777" w:rsidR="00F868B1" w:rsidRPr="00EF1752" w:rsidRDefault="00F868B1" w:rsidP="006E3232">
            <w:pPr>
              <w:bidi w:val="0"/>
              <w:jc w:val="center"/>
              <w:rPr>
                <w:rFonts w:asciiTheme="majorBidi" w:hAnsiTheme="majorBidi" w:cstheme="majorBidi"/>
                <w:sz w:val="22"/>
                <w:szCs w:val="24"/>
              </w:rPr>
            </w:pPr>
            <w:r w:rsidRPr="008A0B7B">
              <w:t>628.75</w:t>
            </w:r>
          </w:p>
        </w:tc>
        <w:tc>
          <w:tcPr>
            <w:tcW w:w="1520" w:type="dxa"/>
          </w:tcPr>
          <w:p w14:paraId="60C59AEA" w14:textId="77777777" w:rsidR="00F868B1" w:rsidRPr="00EF1752" w:rsidRDefault="00F868B1" w:rsidP="006E3232">
            <w:pPr>
              <w:bidi w:val="0"/>
              <w:jc w:val="center"/>
              <w:rPr>
                <w:rFonts w:asciiTheme="majorBidi" w:hAnsiTheme="majorBidi" w:cstheme="majorBidi"/>
                <w:sz w:val="22"/>
                <w:szCs w:val="24"/>
              </w:rPr>
            </w:pPr>
            <w:r w:rsidRPr="008A0B7B">
              <w:t>645.37</w:t>
            </w:r>
          </w:p>
        </w:tc>
      </w:tr>
      <w:tr w:rsidR="00F868B1" w14:paraId="1B7681FB" w14:textId="77777777" w:rsidTr="006E3232">
        <w:tc>
          <w:tcPr>
            <w:tcW w:w="1814" w:type="dxa"/>
            <w:shd w:val="clear" w:color="auto" w:fill="auto"/>
          </w:tcPr>
          <w:p w14:paraId="611729BA" w14:textId="77777777" w:rsidR="00F868B1" w:rsidRPr="00550525" w:rsidRDefault="00F868B1" w:rsidP="006E3232">
            <w:pPr>
              <w:pStyle w:val="a7"/>
              <w:spacing w:line="240" w:lineRule="auto"/>
              <w:ind w:left="0"/>
              <w:rPr>
                <w:b/>
                <w:bCs/>
                <w:sz w:val="26"/>
                <w:rtl/>
              </w:rPr>
            </w:pPr>
            <w:r w:rsidRPr="00550525">
              <w:rPr>
                <w:rFonts w:hint="cs"/>
                <w:b/>
                <w:bCs/>
                <w:sz w:val="26"/>
                <w:rtl/>
              </w:rPr>
              <w:t>פרקליטים</w:t>
            </w:r>
          </w:p>
        </w:tc>
        <w:tc>
          <w:tcPr>
            <w:tcW w:w="3512" w:type="dxa"/>
            <w:shd w:val="clear" w:color="auto" w:fill="auto"/>
          </w:tcPr>
          <w:p w14:paraId="50A8BE41" w14:textId="77777777" w:rsidR="00F868B1" w:rsidRDefault="00F868B1" w:rsidP="006E3232">
            <w:pPr>
              <w:pStyle w:val="a7"/>
              <w:spacing w:line="240" w:lineRule="auto"/>
              <w:ind w:left="0"/>
              <w:rPr>
                <w:sz w:val="26"/>
                <w:rtl/>
              </w:rPr>
            </w:pPr>
            <w:r>
              <w:rPr>
                <w:rFonts w:hint="cs"/>
                <w:sz w:val="26"/>
                <w:rtl/>
              </w:rPr>
              <w:t>המדינה</w:t>
            </w:r>
          </w:p>
        </w:tc>
        <w:tc>
          <w:tcPr>
            <w:tcW w:w="1387" w:type="dxa"/>
            <w:shd w:val="clear" w:color="auto" w:fill="auto"/>
          </w:tcPr>
          <w:p w14:paraId="74979CDA" w14:textId="77777777" w:rsidR="00F868B1" w:rsidRPr="00EF1752" w:rsidRDefault="00F868B1" w:rsidP="006E3232">
            <w:pPr>
              <w:bidi w:val="0"/>
              <w:jc w:val="center"/>
              <w:rPr>
                <w:rFonts w:asciiTheme="majorBidi" w:hAnsiTheme="majorBidi" w:cstheme="majorBidi"/>
                <w:sz w:val="22"/>
                <w:szCs w:val="24"/>
              </w:rPr>
            </w:pPr>
            <w:r w:rsidRPr="008A0B7B">
              <w:t>662.87</w:t>
            </w:r>
          </w:p>
        </w:tc>
        <w:tc>
          <w:tcPr>
            <w:tcW w:w="1520" w:type="dxa"/>
          </w:tcPr>
          <w:p w14:paraId="77693DD8" w14:textId="77777777" w:rsidR="00F868B1" w:rsidRPr="00EF1752" w:rsidRDefault="00F868B1" w:rsidP="006E3232">
            <w:pPr>
              <w:bidi w:val="0"/>
              <w:jc w:val="center"/>
              <w:rPr>
                <w:rFonts w:asciiTheme="majorBidi" w:hAnsiTheme="majorBidi" w:cstheme="majorBidi"/>
                <w:sz w:val="22"/>
                <w:szCs w:val="24"/>
              </w:rPr>
            </w:pPr>
            <w:r w:rsidRPr="008A0B7B">
              <w:t>680.40</w:t>
            </w:r>
          </w:p>
        </w:tc>
      </w:tr>
      <w:tr w:rsidR="00F868B1" w14:paraId="40E6D9B8" w14:textId="77777777" w:rsidTr="006E3232">
        <w:tc>
          <w:tcPr>
            <w:tcW w:w="1814" w:type="dxa"/>
            <w:shd w:val="clear" w:color="auto" w:fill="auto"/>
          </w:tcPr>
          <w:p w14:paraId="2C652D10" w14:textId="77777777" w:rsidR="00F868B1" w:rsidRPr="00550525" w:rsidRDefault="00F868B1" w:rsidP="006E3232">
            <w:pPr>
              <w:pStyle w:val="a7"/>
              <w:spacing w:line="240" w:lineRule="auto"/>
              <w:ind w:left="0"/>
              <w:rPr>
                <w:b/>
                <w:bCs/>
                <w:sz w:val="26"/>
                <w:rtl/>
              </w:rPr>
            </w:pPr>
            <w:r w:rsidRPr="00550525">
              <w:rPr>
                <w:rFonts w:hint="cs"/>
                <w:b/>
                <w:bCs/>
                <w:sz w:val="26"/>
                <w:rtl/>
              </w:rPr>
              <w:t>סנגורים ציבוריים</w:t>
            </w:r>
          </w:p>
        </w:tc>
        <w:tc>
          <w:tcPr>
            <w:tcW w:w="3512" w:type="dxa"/>
            <w:shd w:val="clear" w:color="auto" w:fill="auto"/>
          </w:tcPr>
          <w:p w14:paraId="407E7F1A" w14:textId="77777777" w:rsidR="00F868B1" w:rsidRDefault="00F868B1" w:rsidP="006E3232">
            <w:pPr>
              <w:pStyle w:val="a7"/>
              <w:spacing w:line="240" w:lineRule="auto"/>
              <w:ind w:left="0"/>
              <w:rPr>
                <w:sz w:val="26"/>
                <w:rtl/>
              </w:rPr>
            </w:pPr>
            <w:r>
              <w:rPr>
                <w:rFonts w:hint="cs"/>
                <w:sz w:val="26"/>
                <w:rtl/>
              </w:rPr>
              <w:t>המדינה</w:t>
            </w:r>
          </w:p>
        </w:tc>
        <w:tc>
          <w:tcPr>
            <w:tcW w:w="1387" w:type="dxa"/>
            <w:shd w:val="clear" w:color="auto" w:fill="auto"/>
          </w:tcPr>
          <w:p w14:paraId="4FDEDC70" w14:textId="77777777" w:rsidR="00F868B1" w:rsidRPr="00EF1752" w:rsidRDefault="00F868B1" w:rsidP="006E3232">
            <w:pPr>
              <w:bidi w:val="0"/>
              <w:jc w:val="center"/>
              <w:rPr>
                <w:rFonts w:asciiTheme="majorBidi" w:hAnsiTheme="majorBidi" w:cstheme="majorBidi"/>
                <w:sz w:val="22"/>
                <w:szCs w:val="24"/>
              </w:rPr>
            </w:pPr>
            <w:r w:rsidRPr="008A0B7B">
              <w:t>668.53</w:t>
            </w:r>
          </w:p>
        </w:tc>
        <w:tc>
          <w:tcPr>
            <w:tcW w:w="1520" w:type="dxa"/>
          </w:tcPr>
          <w:p w14:paraId="33BBA648" w14:textId="77777777" w:rsidR="00F868B1" w:rsidRPr="00EF1752" w:rsidRDefault="00F868B1" w:rsidP="006E3232">
            <w:pPr>
              <w:bidi w:val="0"/>
              <w:jc w:val="center"/>
              <w:rPr>
                <w:rFonts w:asciiTheme="majorBidi" w:hAnsiTheme="majorBidi" w:cstheme="majorBidi"/>
                <w:sz w:val="22"/>
                <w:szCs w:val="24"/>
              </w:rPr>
            </w:pPr>
            <w:r w:rsidRPr="008A0B7B">
              <w:t>686.21</w:t>
            </w:r>
          </w:p>
        </w:tc>
      </w:tr>
      <w:tr w:rsidR="00F868B1" w14:paraId="5183F84E" w14:textId="77777777" w:rsidTr="006E3232">
        <w:tc>
          <w:tcPr>
            <w:tcW w:w="1814" w:type="dxa"/>
            <w:shd w:val="clear" w:color="auto" w:fill="auto"/>
          </w:tcPr>
          <w:p w14:paraId="733B3F35" w14:textId="77777777" w:rsidR="00F868B1" w:rsidRPr="00550525" w:rsidRDefault="00F868B1" w:rsidP="006E3232">
            <w:pPr>
              <w:pStyle w:val="a7"/>
              <w:spacing w:line="240" w:lineRule="auto"/>
              <w:ind w:left="0"/>
              <w:rPr>
                <w:b/>
                <w:bCs/>
                <w:sz w:val="26"/>
                <w:rtl/>
              </w:rPr>
            </w:pPr>
            <w:r w:rsidRPr="00550525">
              <w:rPr>
                <w:rFonts w:hint="cs"/>
                <w:b/>
                <w:bCs/>
                <w:sz w:val="26"/>
                <w:rtl/>
              </w:rPr>
              <w:t>חניכים</w:t>
            </w:r>
          </w:p>
        </w:tc>
        <w:tc>
          <w:tcPr>
            <w:tcW w:w="3512" w:type="dxa"/>
            <w:shd w:val="clear" w:color="auto" w:fill="auto"/>
          </w:tcPr>
          <w:p w14:paraId="42F4CC84" w14:textId="77777777" w:rsidR="00F868B1" w:rsidRDefault="00F868B1" w:rsidP="006E3232">
            <w:pPr>
              <w:pStyle w:val="a7"/>
              <w:spacing w:line="240" w:lineRule="auto"/>
              <w:ind w:left="0"/>
              <w:rPr>
                <w:sz w:val="26"/>
                <w:rtl/>
              </w:rPr>
            </w:pPr>
            <w:r>
              <w:rPr>
                <w:rFonts w:hint="cs"/>
                <w:sz w:val="26"/>
                <w:rtl/>
              </w:rPr>
              <w:t xml:space="preserve">המדינה; ביטוח לאומי; שירות התעסוקה; </w:t>
            </w:r>
          </w:p>
          <w:p w14:paraId="4456ABF6" w14:textId="77777777" w:rsidR="00F868B1" w:rsidRDefault="00F868B1" w:rsidP="006E3232">
            <w:pPr>
              <w:pStyle w:val="a7"/>
              <w:spacing w:line="240" w:lineRule="auto"/>
              <w:ind w:left="0"/>
              <w:rPr>
                <w:sz w:val="26"/>
                <w:rtl/>
              </w:rPr>
            </w:pPr>
            <w:r>
              <w:rPr>
                <w:rFonts w:hint="cs"/>
                <w:sz w:val="26"/>
                <w:rtl/>
              </w:rPr>
              <w:t>מרכז השלטון המקומי; שלוש הערים הגדולות (כולל איכילוב ובני ציון); מרכז המועצות האזוריות;</w:t>
            </w:r>
          </w:p>
        </w:tc>
        <w:tc>
          <w:tcPr>
            <w:tcW w:w="1387" w:type="dxa"/>
            <w:shd w:val="clear" w:color="auto" w:fill="auto"/>
          </w:tcPr>
          <w:p w14:paraId="4C0FC532" w14:textId="77777777" w:rsidR="00F868B1" w:rsidRPr="00EF1752" w:rsidRDefault="00F868B1" w:rsidP="006E3232">
            <w:pPr>
              <w:bidi w:val="0"/>
              <w:jc w:val="center"/>
              <w:rPr>
                <w:rFonts w:asciiTheme="majorBidi" w:hAnsiTheme="majorBidi" w:cstheme="majorBidi"/>
                <w:sz w:val="22"/>
                <w:szCs w:val="24"/>
              </w:rPr>
            </w:pPr>
            <w:r w:rsidRPr="008A0B7B">
              <w:t>183.39</w:t>
            </w:r>
          </w:p>
        </w:tc>
        <w:tc>
          <w:tcPr>
            <w:tcW w:w="1520" w:type="dxa"/>
          </w:tcPr>
          <w:p w14:paraId="140CFE49" w14:textId="77777777" w:rsidR="00F868B1" w:rsidRPr="00EF1752" w:rsidRDefault="00F868B1" w:rsidP="006E3232">
            <w:pPr>
              <w:bidi w:val="0"/>
              <w:jc w:val="center"/>
              <w:rPr>
                <w:rFonts w:asciiTheme="majorBidi" w:hAnsiTheme="majorBidi" w:cstheme="majorBidi"/>
                <w:sz w:val="22"/>
                <w:szCs w:val="24"/>
              </w:rPr>
            </w:pPr>
            <w:r w:rsidRPr="008A0B7B">
              <w:t>188.24</w:t>
            </w:r>
          </w:p>
        </w:tc>
      </w:tr>
      <w:tr w:rsidR="00F868B1" w14:paraId="02F0C537" w14:textId="77777777" w:rsidTr="006E3232">
        <w:tc>
          <w:tcPr>
            <w:tcW w:w="1814" w:type="dxa"/>
            <w:shd w:val="clear" w:color="auto" w:fill="auto"/>
          </w:tcPr>
          <w:p w14:paraId="4ED9B49B" w14:textId="77777777" w:rsidR="00F868B1" w:rsidRPr="00550525" w:rsidRDefault="00F868B1" w:rsidP="006E3232">
            <w:pPr>
              <w:pStyle w:val="a7"/>
              <w:spacing w:line="240" w:lineRule="auto"/>
              <w:ind w:left="0"/>
              <w:rPr>
                <w:b/>
                <w:bCs/>
                <w:sz w:val="26"/>
                <w:rtl/>
              </w:rPr>
            </w:pPr>
            <w:proofErr w:type="spellStart"/>
            <w:r w:rsidRPr="00550525">
              <w:rPr>
                <w:rFonts w:hint="cs"/>
                <w:b/>
                <w:bCs/>
                <w:sz w:val="26"/>
                <w:rtl/>
              </w:rPr>
              <w:t>פיזיטרפיסטים</w:t>
            </w:r>
            <w:proofErr w:type="spellEnd"/>
            <w:r w:rsidRPr="00550525">
              <w:rPr>
                <w:rFonts w:hint="cs"/>
                <w:b/>
                <w:bCs/>
                <w:sz w:val="26"/>
                <w:rtl/>
              </w:rPr>
              <w:t>, מרפאים בעיסוק, פארה רפואיים (לרבות קלינאי תקשורת טכנולוגים רפואיים)</w:t>
            </w:r>
          </w:p>
        </w:tc>
        <w:tc>
          <w:tcPr>
            <w:tcW w:w="3512" w:type="dxa"/>
            <w:shd w:val="clear" w:color="auto" w:fill="auto"/>
          </w:tcPr>
          <w:p w14:paraId="10F28A35" w14:textId="77777777" w:rsidR="00F868B1" w:rsidRDefault="00F868B1" w:rsidP="006E3232">
            <w:pPr>
              <w:pStyle w:val="a7"/>
              <w:spacing w:line="240" w:lineRule="auto"/>
              <w:ind w:left="0"/>
              <w:rPr>
                <w:sz w:val="26"/>
              </w:rPr>
            </w:pPr>
            <w:r>
              <w:rPr>
                <w:rFonts w:hint="cs"/>
                <w:sz w:val="26"/>
                <w:rtl/>
              </w:rPr>
              <w:t xml:space="preserve">המדינה; מרכז השלטון המקומי; שלוש הערים הגדולות (כולל איכילוב ובני ציון); הדסה; שרותי בריאות כללית; </w:t>
            </w:r>
          </w:p>
        </w:tc>
        <w:tc>
          <w:tcPr>
            <w:tcW w:w="1387" w:type="dxa"/>
            <w:shd w:val="clear" w:color="auto" w:fill="auto"/>
          </w:tcPr>
          <w:p w14:paraId="43ACDC4F" w14:textId="77777777" w:rsidR="00F868B1" w:rsidRPr="00EF1752" w:rsidRDefault="00F868B1" w:rsidP="006E3232">
            <w:pPr>
              <w:jc w:val="center"/>
              <w:rPr>
                <w:rFonts w:asciiTheme="majorBidi" w:hAnsiTheme="majorBidi" w:cstheme="majorBidi"/>
                <w:sz w:val="22"/>
                <w:szCs w:val="24"/>
              </w:rPr>
            </w:pPr>
            <w:r w:rsidRPr="008A0B7B">
              <w:t>470.6</w:t>
            </w:r>
          </w:p>
        </w:tc>
        <w:tc>
          <w:tcPr>
            <w:tcW w:w="1520" w:type="dxa"/>
          </w:tcPr>
          <w:p w14:paraId="598CA05C" w14:textId="77777777" w:rsidR="00F868B1" w:rsidRPr="00EF1752" w:rsidRDefault="00F868B1" w:rsidP="006E3232">
            <w:pPr>
              <w:jc w:val="center"/>
              <w:rPr>
                <w:rFonts w:asciiTheme="majorBidi" w:hAnsiTheme="majorBidi" w:cstheme="majorBidi"/>
                <w:sz w:val="22"/>
                <w:szCs w:val="24"/>
              </w:rPr>
            </w:pPr>
            <w:r w:rsidRPr="008A0B7B">
              <w:t>483.04</w:t>
            </w:r>
          </w:p>
        </w:tc>
      </w:tr>
    </w:tbl>
    <w:p w14:paraId="69CA6FA6" w14:textId="77777777" w:rsidR="00F868B1" w:rsidRDefault="00F868B1" w:rsidP="00F868B1">
      <w:pPr>
        <w:ind w:left="1275"/>
        <w:rPr>
          <w:rtl/>
        </w:rPr>
      </w:pPr>
    </w:p>
    <w:p w14:paraId="162A14A4" w14:textId="77777777" w:rsidR="00F868B1" w:rsidRDefault="00F868B1" w:rsidP="00F868B1">
      <w:pPr>
        <w:ind w:left="1275"/>
        <w:rPr>
          <w:rtl/>
        </w:rPr>
      </w:pPr>
    </w:p>
    <w:p w14:paraId="6766A02E" w14:textId="77777777" w:rsidR="00F868B1" w:rsidRDefault="00F868B1" w:rsidP="00F868B1">
      <w:pPr>
        <w:ind w:left="1275"/>
        <w:rPr>
          <w:rtl/>
        </w:rPr>
      </w:pPr>
    </w:p>
    <w:p w14:paraId="671C0549" w14:textId="77777777" w:rsidR="00F868B1" w:rsidRDefault="00F868B1" w:rsidP="00F868B1">
      <w:pPr>
        <w:rPr>
          <w:rtl/>
        </w:rPr>
      </w:pPr>
    </w:p>
    <w:p w14:paraId="3903B609" w14:textId="77777777" w:rsidR="00F868B1" w:rsidRDefault="00F868B1" w:rsidP="00F868B1">
      <w:pPr>
        <w:rPr>
          <w:rtl/>
        </w:rPr>
      </w:pPr>
      <w:r>
        <w:rPr>
          <w:rFonts w:hint="cs"/>
          <w:rtl/>
        </w:rPr>
        <w:t>המשך הטבלה מהעמוד הקודם:</w:t>
      </w:r>
    </w:p>
    <w:tbl>
      <w:tblPr>
        <w:bidiVisual/>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3466"/>
        <w:gridCol w:w="1775"/>
        <w:gridCol w:w="1514"/>
      </w:tblGrid>
      <w:tr w:rsidR="00F868B1" w14:paraId="6E8763DE" w14:textId="77777777" w:rsidTr="006E3232">
        <w:tc>
          <w:tcPr>
            <w:tcW w:w="1478" w:type="dxa"/>
            <w:tcBorders>
              <w:top w:val="single" w:sz="4" w:space="0" w:color="auto"/>
              <w:left w:val="single" w:sz="4" w:space="0" w:color="auto"/>
              <w:bottom w:val="single" w:sz="4" w:space="0" w:color="auto"/>
              <w:right w:val="single" w:sz="4" w:space="0" w:color="auto"/>
            </w:tcBorders>
            <w:shd w:val="clear" w:color="auto" w:fill="auto"/>
          </w:tcPr>
          <w:p w14:paraId="5E6B3C0D" w14:textId="77777777" w:rsidR="00F868B1" w:rsidRPr="00BE4D57" w:rsidRDefault="00F868B1" w:rsidP="006E3232">
            <w:pPr>
              <w:pStyle w:val="a7"/>
              <w:spacing w:line="240" w:lineRule="auto"/>
              <w:ind w:left="0"/>
              <w:rPr>
                <w:b/>
                <w:bCs/>
                <w:sz w:val="26"/>
                <w:rtl/>
              </w:rPr>
            </w:pPr>
            <w:r w:rsidRPr="00BE4D57">
              <w:rPr>
                <w:rFonts w:hint="cs"/>
                <w:b/>
                <w:bCs/>
                <w:sz w:val="26"/>
                <w:rtl/>
              </w:rPr>
              <w:t>שם הדירוג</w:t>
            </w:r>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52EBB52F" w14:textId="77777777" w:rsidR="00F868B1" w:rsidRPr="00BE4D57" w:rsidRDefault="00F868B1" w:rsidP="006E3232">
            <w:pPr>
              <w:pStyle w:val="a7"/>
              <w:spacing w:line="240" w:lineRule="auto"/>
              <w:ind w:left="0"/>
              <w:rPr>
                <w:b/>
                <w:bCs/>
                <w:sz w:val="26"/>
                <w:rtl/>
              </w:rPr>
            </w:pPr>
            <w:r w:rsidRPr="00BE4D57">
              <w:rPr>
                <w:rFonts w:hint="cs"/>
                <w:b/>
                <w:bCs/>
                <w:sz w:val="26"/>
                <w:rtl/>
              </w:rPr>
              <w:t>שם המעסיקים</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3792AC95" w14:textId="77777777" w:rsidR="00F868B1" w:rsidRPr="00BE4D57" w:rsidRDefault="00F868B1" w:rsidP="006E3232">
            <w:pPr>
              <w:pStyle w:val="a7"/>
              <w:spacing w:line="240" w:lineRule="auto"/>
              <w:ind w:left="0"/>
              <w:jc w:val="left"/>
              <w:rPr>
                <w:b/>
                <w:bCs/>
                <w:sz w:val="26"/>
                <w:rtl/>
              </w:rPr>
            </w:pPr>
            <w:r w:rsidRPr="00BE4D57">
              <w:rPr>
                <w:rFonts w:hint="cs"/>
                <w:b/>
                <w:bCs/>
                <w:sz w:val="26"/>
                <w:rtl/>
              </w:rPr>
              <w:t xml:space="preserve">סכום תוספת שקלית 2016 </w:t>
            </w:r>
            <w:r>
              <w:rPr>
                <w:rFonts w:hint="cs"/>
                <w:b/>
                <w:bCs/>
                <w:sz w:val="26"/>
                <w:rtl/>
              </w:rPr>
              <w:t>עד יום</w:t>
            </w:r>
            <w:r w:rsidRPr="00BE4D57">
              <w:rPr>
                <w:rFonts w:hint="cs"/>
                <w:b/>
                <w:bCs/>
                <w:sz w:val="26"/>
                <w:rtl/>
              </w:rPr>
              <w:t xml:space="preserve"> </w:t>
            </w:r>
            <w:r>
              <w:rPr>
                <w:rFonts w:hint="cs"/>
                <w:b/>
                <w:bCs/>
                <w:sz w:val="26"/>
                <w:rtl/>
              </w:rPr>
              <w:t>31</w:t>
            </w:r>
            <w:r w:rsidRPr="00BE4D57">
              <w:rPr>
                <w:rFonts w:hint="cs"/>
                <w:b/>
                <w:bCs/>
                <w:sz w:val="26"/>
                <w:rtl/>
              </w:rPr>
              <w:t>.</w:t>
            </w:r>
            <w:r>
              <w:rPr>
                <w:rFonts w:hint="cs"/>
                <w:b/>
                <w:bCs/>
                <w:sz w:val="26"/>
                <w:rtl/>
              </w:rPr>
              <w:t>12</w:t>
            </w:r>
            <w:r w:rsidRPr="00BE4D57">
              <w:rPr>
                <w:rFonts w:hint="cs"/>
                <w:b/>
                <w:bCs/>
                <w:sz w:val="26"/>
                <w:rtl/>
              </w:rPr>
              <w:t>.20</w:t>
            </w:r>
            <w:r>
              <w:rPr>
                <w:rFonts w:hint="cs"/>
                <w:b/>
                <w:bCs/>
                <w:sz w:val="26"/>
                <w:rtl/>
              </w:rPr>
              <w:t>25</w:t>
            </w:r>
            <w:r w:rsidRPr="00BE4D57">
              <w:rPr>
                <w:rFonts w:hint="cs"/>
                <w:b/>
                <w:bCs/>
                <w:sz w:val="26"/>
                <w:rtl/>
              </w:rPr>
              <w:t xml:space="preserve"> בש"ח</w:t>
            </w:r>
          </w:p>
        </w:tc>
        <w:tc>
          <w:tcPr>
            <w:tcW w:w="1514" w:type="dxa"/>
            <w:tcBorders>
              <w:top w:val="single" w:sz="4" w:space="0" w:color="auto"/>
              <w:left w:val="single" w:sz="4" w:space="0" w:color="auto"/>
              <w:bottom w:val="single" w:sz="4" w:space="0" w:color="auto"/>
              <w:right w:val="single" w:sz="4" w:space="0" w:color="auto"/>
            </w:tcBorders>
          </w:tcPr>
          <w:p w14:paraId="10F3A82C" w14:textId="77777777" w:rsidR="00F868B1" w:rsidRPr="00BE4D57" w:rsidRDefault="00F868B1" w:rsidP="006E3232">
            <w:pPr>
              <w:pStyle w:val="a7"/>
              <w:spacing w:line="240" w:lineRule="auto"/>
              <w:ind w:left="0"/>
              <w:jc w:val="left"/>
              <w:rPr>
                <w:b/>
                <w:bCs/>
                <w:sz w:val="26"/>
                <w:rtl/>
              </w:rPr>
            </w:pPr>
            <w:r w:rsidRPr="00BE4D57">
              <w:rPr>
                <w:rFonts w:hint="cs"/>
                <w:b/>
                <w:bCs/>
                <w:sz w:val="26"/>
                <w:rtl/>
              </w:rPr>
              <w:t xml:space="preserve">סכום התוספת </w:t>
            </w:r>
            <w:proofErr w:type="spellStart"/>
            <w:r w:rsidRPr="00BE4D57">
              <w:rPr>
                <w:rFonts w:hint="cs"/>
                <w:b/>
                <w:bCs/>
                <w:sz w:val="26"/>
                <w:rtl/>
              </w:rPr>
              <w:t>השקלית</w:t>
            </w:r>
            <w:proofErr w:type="spellEnd"/>
            <w:r w:rsidRPr="00BE4D57">
              <w:rPr>
                <w:rFonts w:hint="cs"/>
                <w:b/>
                <w:bCs/>
                <w:sz w:val="26"/>
                <w:rtl/>
              </w:rPr>
              <w:t xml:space="preserve"> 2016 החל מיום 1.1.20</w:t>
            </w:r>
            <w:r>
              <w:rPr>
                <w:rFonts w:hint="cs"/>
                <w:b/>
                <w:bCs/>
                <w:sz w:val="26"/>
                <w:rtl/>
              </w:rPr>
              <w:t>26</w:t>
            </w:r>
            <w:r w:rsidRPr="00BE4D57">
              <w:rPr>
                <w:rFonts w:hint="cs"/>
                <w:b/>
                <w:bCs/>
                <w:sz w:val="26"/>
                <w:rtl/>
              </w:rPr>
              <w:t xml:space="preserve"> בש"ח</w:t>
            </w:r>
          </w:p>
        </w:tc>
      </w:tr>
      <w:tr w:rsidR="00F868B1" w14:paraId="34EA6DF6" w14:textId="77777777" w:rsidTr="006E3232">
        <w:tc>
          <w:tcPr>
            <w:tcW w:w="1478" w:type="dxa"/>
            <w:tcBorders>
              <w:top w:val="single" w:sz="4" w:space="0" w:color="auto"/>
              <w:left w:val="single" w:sz="4" w:space="0" w:color="auto"/>
              <w:bottom w:val="single" w:sz="4" w:space="0" w:color="auto"/>
              <w:right w:val="single" w:sz="4" w:space="0" w:color="auto"/>
            </w:tcBorders>
            <w:shd w:val="clear" w:color="auto" w:fill="auto"/>
          </w:tcPr>
          <w:p w14:paraId="5B0F2B37" w14:textId="77777777" w:rsidR="00F868B1" w:rsidRPr="00BE4D57" w:rsidRDefault="00F868B1" w:rsidP="006E3232">
            <w:pPr>
              <w:pStyle w:val="a7"/>
              <w:spacing w:line="240" w:lineRule="auto"/>
              <w:ind w:left="0"/>
              <w:rPr>
                <w:b/>
                <w:bCs/>
                <w:sz w:val="26"/>
                <w:rtl/>
              </w:rPr>
            </w:pPr>
            <w:r>
              <w:rPr>
                <w:rFonts w:hint="cs"/>
                <w:b/>
                <w:bCs/>
                <w:sz w:val="26"/>
                <w:rtl/>
              </w:rPr>
              <w:t>עובדי מעבדה ביוכימאים ומיקרוביולוגים</w:t>
            </w:r>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6FF9C8A6" w14:textId="77777777" w:rsidR="00F868B1" w:rsidRPr="00BE4D57" w:rsidRDefault="00F868B1" w:rsidP="006E3232">
            <w:pPr>
              <w:pStyle w:val="a7"/>
              <w:spacing w:line="240" w:lineRule="auto"/>
              <w:ind w:left="0"/>
              <w:rPr>
                <w:b/>
                <w:bCs/>
                <w:sz w:val="26"/>
                <w:rtl/>
              </w:rPr>
            </w:pPr>
            <w:r>
              <w:rPr>
                <w:rFonts w:hint="cs"/>
                <w:sz w:val="26"/>
                <w:rtl/>
              </w:rPr>
              <w:t xml:space="preserve">המדינה; מרכז השלטון המקומי; שלוש הערים הגדולות (כולל איכילוב ובני ציון); הדסה; שרותי בריאות כללית; </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5C93892E" w14:textId="77777777" w:rsidR="00F868B1" w:rsidRPr="00EF1752" w:rsidRDefault="00F868B1" w:rsidP="006E3232">
            <w:pPr>
              <w:bidi w:val="0"/>
              <w:jc w:val="center"/>
              <w:rPr>
                <w:sz w:val="22"/>
                <w:szCs w:val="24"/>
              </w:rPr>
            </w:pPr>
            <w:r w:rsidRPr="008537BD">
              <w:t>851.48</w:t>
            </w:r>
          </w:p>
        </w:tc>
        <w:tc>
          <w:tcPr>
            <w:tcW w:w="1514" w:type="dxa"/>
            <w:tcBorders>
              <w:top w:val="single" w:sz="4" w:space="0" w:color="auto"/>
              <w:left w:val="single" w:sz="4" w:space="0" w:color="auto"/>
              <w:bottom w:val="single" w:sz="4" w:space="0" w:color="auto"/>
              <w:right w:val="single" w:sz="4" w:space="0" w:color="auto"/>
            </w:tcBorders>
          </w:tcPr>
          <w:p w14:paraId="230293BD" w14:textId="77777777" w:rsidR="00F868B1" w:rsidRPr="00EF1752" w:rsidRDefault="00F868B1" w:rsidP="006E3232">
            <w:pPr>
              <w:bidi w:val="0"/>
              <w:jc w:val="center"/>
              <w:rPr>
                <w:sz w:val="22"/>
                <w:szCs w:val="24"/>
              </w:rPr>
            </w:pPr>
            <w:r w:rsidRPr="008537BD">
              <w:t>873.99</w:t>
            </w:r>
          </w:p>
        </w:tc>
      </w:tr>
      <w:tr w:rsidR="00F868B1" w14:paraId="2FB79261" w14:textId="77777777" w:rsidTr="006E3232">
        <w:tc>
          <w:tcPr>
            <w:tcW w:w="1478" w:type="dxa"/>
            <w:tcBorders>
              <w:top w:val="single" w:sz="4" w:space="0" w:color="auto"/>
              <w:left w:val="single" w:sz="4" w:space="0" w:color="auto"/>
              <w:bottom w:val="single" w:sz="4" w:space="0" w:color="auto"/>
              <w:right w:val="single" w:sz="4" w:space="0" w:color="auto"/>
            </w:tcBorders>
            <w:shd w:val="clear" w:color="auto" w:fill="auto"/>
          </w:tcPr>
          <w:p w14:paraId="208947F7" w14:textId="77777777" w:rsidR="00F868B1" w:rsidRDefault="00F868B1" w:rsidP="006E3232">
            <w:pPr>
              <w:pStyle w:val="a7"/>
              <w:spacing w:line="240" w:lineRule="auto"/>
              <w:ind w:left="0"/>
              <w:rPr>
                <w:b/>
                <w:bCs/>
                <w:sz w:val="26"/>
                <w:rtl/>
              </w:rPr>
            </w:pPr>
            <w:r>
              <w:rPr>
                <w:rFonts w:hint="cs"/>
                <w:b/>
                <w:bCs/>
                <w:sz w:val="26"/>
                <w:rtl/>
              </w:rPr>
              <w:t>רוקחים</w:t>
            </w:r>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4D9AA127" w14:textId="77777777" w:rsidR="00F868B1" w:rsidRDefault="00F868B1" w:rsidP="006E3232">
            <w:r w:rsidRPr="001367C8">
              <w:rPr>
                <w:rFonts w:hint="cs"/>
                <w:rtl/>
              </w:rPr>
              <w:t xml:space="preserve">המדינה; מרכז השלטון המקומי; שלוש הערים הגדולות (כולל איכילוב ובני ציון); הדסה; שרותי בריאות כללית; </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40252784" w14:textId="77777777" w:rsidR="00F868B1" w:rsidRPr="00EF1752" w:rsidRDefault="00F868B1" w:rsidP="006E3232">
            <w:pPr>
              <w:bidi w:val="0"/>
              <w:jc w:val="center"/>
              <w:rPr>
                <w:sz w:val="22"/>
                <w:szCs w:val="24"/>
              </w:rPr>
            </w:pPr>
            <w:r w:rsidRPr="008537BD">
              <w:t>627.07</w:t>
            </w:r>
          </w:p>
        </w:tc>
        <w:tc>
          <w:tcPr>
            <w:tcW w:w="1514" w:type="dxa"/>
            <w:tcBorders>
              <w:top w:val="single" w:sz="4" w:space="0" w:color="auto"/>
              <w:left w:val="single" w:sz="4" w:space="0" w:color="auto"/>
              <w:bottom w:val="single" w:sz="4" w:space="0" w:color="auto"/>
              <w:right w:val="single" w:sz="4" w:space="0" w:color="auto"/>
            </w:tcBorders>
          </w:tcPr>
          <w:p w14:paraId="6C69BE54" w14:textId="77777777" w:rsidR="00F868B1" w:rsidRPr="00EF1752" w:rsidRDefault="00F868B1" w:rsidP="006E3232">
            <w:pPr>
              <w:bidi w:val="0"/>
              <w:jc w:val="center"/>
              <w:rPr>
                <w:sz w:val="22"/>
                <w:szCs w:val="24"/>
              </w:rPr>
            </w:pPr>
            <w:r w:rsidRPr="008537BD">
              <w:t>643.65</w:t>
            </w:r>
          </w:p>
        </w:tc>
      </w:tr>
      <w:tr w:rsidR="00F868B1" w14:paraId="1E02D180" w14:textId="77777777" w:rsidTr="006E3232">
        <w:tc>
          <w:tcPr>
            <w:tcW w:w="1478" w:type="dxa"/>
            <w:tcBorders>
              <w:top w:val="single" w:sz="4" w:space="0" w:color="auto"/>
              <w:left w:val="single" w:sz="4" w:space="0" w:color="auto"/>
              <w:bottom w:val="single" w:sz="4" w:space="0" w:color="auto"/>
              <w:right w:val="single" w:sz="4" w:space="0" w:color="auto"/>
            </w:tcBorders>
            <w:shd w:val="clear" w:color="auto" w:fill="auto"/>
          </w:tcPr>
          <w:p w14:paraId="30776270" w14:textId="77777777" w:rsidR="00F868B1" w:rsidRDefault="00F868B1" w:rsidP="006E3232">
            <w:pPr>
              <w:pStyle w:val="a7"/>
              <w:spacing w:line="240" w:lineRule="auto"/>
              <w:ind w:left="0"/>
              <w:rPr>
                <w:b/>
                <w:bCs/>
                <w:sz w:val="26"/>
                <w:rtl/>
              </w:rPr>
            </w:pPr>
            <w:proofErr w:type="spellStart"/>
            <w:r>
              <w:rPr>
                <w:rFonts w:hint="cs"/>
                <w:b/>
                <w:bCs/>
                <w:sz w:val="26"/>
                <w:rtl/>
              </w:rPr>
              <w:t>רנטגנאים</w:t>
            </w:r>
            <w:proofErr w:type="spellEnd"/>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6F083C4D" w14:textId="77777777" w:rsidR="00F868B1" w:rsidRDefault="00F868B1" w:rsidP="006E3232">
            <w:r w:rsidRPr="001367C8">
              <w:rPr>
                <w:rFonts w:hint="cs"/>
                <w:rtl/>
              </w:rPr>
              <w:t xml:space="preserve">המדינה; מרכז השלטון המקומי; שלוש הערים הגדולות (כולל איכילוב ובני ציון); הדסה; שרותי בריאות כללית; </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29FE391B" w14:textId="77777777" w:rsidR="00F868B1" w:rsidRPr="00EF1752" w:rsidRDefault="00F868B1" w:rsidP="006E3232">
            <w:pPr>
              <w:bidi w:val="0"/>
              <w:jc w:val="center"/>
              <w:rPr>
                <w:sz w:val="22"/>
                <w:szCs w:val="24"/>
              </w:rPr>
            </w:pPr>
            <w:r w:rsidRPr="008537BD">
              <w:t>656.55</w:t>
            </w:r>
          </w:p>
        </w:tc>
        <w:tc>
          <w:tcPr>
            <w:tcW w:w="1514" w:type="dxa"/>
            <w:tcBorders>
              <w:top w:val="single" w:sz="4" w:space="0" w:color="auto"/>
              <w:left w:val="single" w:sz="4" w:space="0" w:color="auto"/>
              <w:bottom w:val="single" w:sz="4" w:space="0" w:color="auto"/>
              <w:right w:val="single" w:sz="4" w:space="0" w:color="auto"/>
            </w:tcBorders>
          </w:tcPr>
          <w:p w14:paraId="18E18047" w14:textId="77777777" w:rsidR="00F868B1" w:rsidRPr="00EF1752" w:rsidRDefault="00F868B1" w:rsidP="006E3232">
            <w:pPr>
              <w:bidi w:val="0"/>
              <w:jc w:val="center"/>
              <w:rPr>
                <w:sz w:val="22"/>
                <w:szCs w:val="24"/>
              </w:rPr>
            </w:pPr>
            <w:r w:rsidRPr="008537BD">
              <w:t>673.91</w:t>
            </w:r>
          </w:p>
        </w:tc>
      </w:tr>
      <w:tr w:rsidR="00F868B1" w14:paraId="4B37CC16" w14:textId="77777777" w:rsidTr="006E3232">
        <w:tc>
          <w:tcPr>
            <w:tcW w:w="1478" w:type="dxa"/>
            <w:tcBorders>
              <w:top w:val="single" w:sz="4" w:space="0" w:color="auto"/>
              <w:left w:val="single" w:sz="4" w:space="0" w:color="auto"/>
              <w:bottom w:val="single" w:sz="4" w:space="0" w:color="auto"/>
              <w:right w:val="single" w:sz="4" w:space="0" w:color="auto"/>
            </w:tcBorders>
            <w:shd w:val="clear" w:color="auto" w:fill="auto"/>
          </w:tcPr>
          <w:p w14:paraId="6D2BEDB2" w14:textId="108B90C0" w:rsidR="00F868B1" w:rsidRDefault="00F868B1" w:rsidP="006E3232">
            <w:pPr>
              <w:pStyle w:val="a7"/>
              <w:spacing w:line="240" w:lineRule="auto"/>
              <w:ind w:left="0"/>
              <w:rPr>
                <w:b/>
                <w:bCs/>
                <w:sz w:val="26"/>
                <w:rtl/>
              </w:rPr>
            </w:pPr>
            <w:r>
              <w:rPr>
                <w:rFonts w:hint="cs"/>
                <w:b/>
                <w:bCs/>
                <w:sz w:val="26"/>
                <w:rtl/>
              </w:rPr>
              <w:t>פסיכולוגים</w:t>
            </w:r>
            <w:r w:rsidR="002F3EB1">
              <w:rPr>
                <w:rFonts w:hint="cs"/>
                <w:b/>
                <w:bCs/>
                <w:sz w:val="26"/>
                <w:rtl/>
              </w:rPr>
              <w:t xml:space="preserve"> (אשר בדירוג </w:t>
            </w:r>
            <w:proofErr w:type="spellStart"/>
            <w:r w:rsidR="002F3EB1">
              <w:rPr>
                <w:rFonts w:hint="cs"/>
                <w:b/>
                <w:bCs/>
                <w:sz w:val="26"/>
                <w:rtl/>
              </w:rPr>
              <w:t>המח"ר</w:t>
            </w:r>
            <w:proofErr w:type="spellEnd"/>
            <w:r w:rsidR="002F3EB1">
              <w:rPr>
                <w:rFonts w:hint="cs"/>
                <w:b/>
                <w:bCs/>
                <w:sz w:val="26"/>
                <w:rtl/>
              </w:rPr>
              <w:t xml:space="preserve"> ואשר הסכם 2025 לא</w:t>
            </w:r>
            <w:r w:rsidR="00EF5545">
              <w:rPr>
                <w:rFonts w:hint="cs"/>
                <w:b/>
                <w:bCs/>
                <w:sz w:val="26"/>
                <w:rtl/>
              </w:rPr>
              <w:t xml:space="preserve"> חל</w:t>
            </w:r>
            <w:r w:rsidR="002F3EB1">
              <w:rPr>
                <w:rFonts w:hint="cs"/>
                <w:b/>
                <w:bCs/>
                <w:sz w:val="26"/>
                <w:rtl/>
              </w:rPr>
              <w:t xml:space="preserve"> עליהם)</w:t>
            </w:r>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494AA978" w14:textId="77777777" w:rsidR="00F868B1" w:rsidRDefault="00F868B1" w:rsidP="006E3232">
            <w:r w:rsidRPr="001367C8">
              <w:rPr>
                <w:rFonts w:hint="cs"/>
                <w:rtl/>
              </w:rPr>
              <w:t xml:space="preserve">המדינה; מרכז השלטון המקומי; שלוש הערים הגדולות (כולל איכילוב ובני ציון); הדסה; שרותי בריאות כללית; </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50543856" w14:textId="77777777" w:rsidR="00F868B1" w:rsidRPr="00EF1752" w:rsidRDefault="00F868B1" w:rsidP="006E3232">
            <w:pPr>
              <w:bidi w:val="0"/>
              <w:jc w:val="center"/>
              <w:rPr>
                <w:sz w:val="22"/>
                <w:szCs w:val="24"/>
              </w:rPr>
            </w:pPr>
            <w:r w:rsidRPr="008537BD">
              <w:t>814.67</w:t>
            </w:r>
          </w:p>
        </w:tc>
        <w:tc>
          <w:tcPr>
            <w:tcW w:w="1514" w:type="dxa"/>
            <w:tcBorders>
              <w:top w:val="single" w:sz="4" w:space="0" w:color="auto"/>
              <w:left w:val="single" w:sz="4" w:space="0" w:color="auto"/>
              <w:bottom w:val="single" w:sz="4" w:space="0" w:color="auto"/>
              <w:right w:val="single" w:sz="4" w:space="0" w:color="auto"/>
            </w:tcBorders>
          </w:tcPr>
          <w:p w14:paraId="4A02099E" w14:textId="77777777" w:rsidR="00F868B1" w:rsidRPr="00EF1752" w:rsidRDefault="00F868B1" w:rsidP="006E3232">
            <w:pPr>
              <w:bidi w:val="0"/>
              <w:jc w:val="center"/>
              <w:rPr>
                <w:sz w:val="22"/>
                <w:szCs w:val="24"/>
              </w:rPr>
            </w:pPr>
            <w:r w:rsidRPr="008537BD">
              <w:t>836.21</w:t>
            </w:r>
          </w:p>
        </w:tc>
      </w:tr>
      <w:tr w:rsidR="00F868B1" w14:paraId="37AA4FAA" w14:textId="77777777" w:rsidTr="006E3232">
        <w:tc>
          <w:tcPr>
            <w:tcW w:w="1478" w:type="dxa"/>
            <w:tcBorders>
              <w:top w:val="single" w:sz="4" w:space="0" w:color="auto"/>
              <w:left w:val="single" w:sz="4" w:space="0" w:color="auto"/>
              <w:bottom w:val="single" w:sz="4" w:space="0" w:color="auto"/>
              <w:right w:val="single" w:sz="4" w:space="0" w:color="auto"/>
            </w:tcBorders>
            <w:shd w:val="clear" w:color="auto" w:fill="auto"/>
          </w:tcPr>
          <w:p w14:paraId="369D5217" w14:textId="77777777" w:rsidR="00F868B1" w:rsidRDefault="00F868B1" w:rsidP="006E3232">
            <w:pPr>
              <w:pStyle w:val="a7"/>
              <w:spacing w:line="240" w:lineRule="auto"/>
              <w:ind w:left="0"/>
              <w:rPr>
                <w:b/>
                <w:bCs/>
                <w:sz w:val="26"/>
                <w:rtl/>
              </w:rPr>
            </w:pPr>
            <w:r>
              <w:rPr>
                <w:rFonts w:hint="cs"/>
                <w:b/>
                <w:bCs/>
                <w:sz w:val="26"/>
                <w:rtl/>
              </w:rPr>
              <w:t>האחים והאחיות</w:t>
            </w:r>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4C631DFD" w14:textId="77777777" w:rsidR="00F868B1" w:rsidRPr="001367C8" w:rsidRDefault="00F868B1" w:rsidP="006E3232">
            <w:pPr>
              <w:rPr>
                <w:rtl/>
              </w:rPr>
            </w:pPr>
            <w:r w:rsidRPr="001367C8">
              <w:rPr>
                <w:rFonts w:hint="cs"/>
                <w:rtl/>
              </w:rPr>
              <w:t xml:space="preserve">המדינה; </w:t>
            </w:r>
            <w:r>
              <w:rPr>
                <w:rFonts w:hint="cs"/>
                <w:rtl/>
              </w:rPr>
              <w:t xml:space="preserve">ביטוח לאומי;  </w:t>
            </w:r>
            <w:r w:rsidRPr="001367C8">
              <w:rPr>
                <w:rFonts w:hint="cs"/>
                <w:rtl/>
              </w:rPr>
              <w:t xml:space="preserve">מרכז השלטון המקומי; שלוש הערים הגדולות (כולל איכילוב ובני ציון); </w:t>
            </w:r>
            <w:r>
              <w:rPr>
                <w:rFonts w:hint="cs"/>
                <w:rtl/>
              </w:rPr>
              <w:t xml:space="preserve">מרכז המועצות האזוריות; </w:t>
            </w:r>
            <w:r w:rsidRPr="001367C8">
              <w:rPr>
                <w:rFonts w:hint="cs"/>
                <w:rtl/>
              </w:rPr>
              <w:t>הדסה; שרותי בריאות כללית;</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11824064" w14:textId="77777777" w:rsidR="00F868B1" w:rsidRPr="00EF1752" w:rsidRDefault="00F868B1" w:rsidP="006E3232">
            <w:pPr>
              <w:bidi w:val="0"/>
              <w:jc w:val="center"/>
              <w:rPr>
                <w:sz w:val="22"/>
                <w:szCs w:val="24"/>
              </w:rPr>
            </w:pPr>
            <w:r w:rsidRPr="008537BD">
              <w:t>861.19</w:t>
            </w:r>
          </w:p>
        </w:tc>
        <w:tc>
          <w:tcPr>
            <w:tcW w:w="1514" w:type="dxa"/>
            <w:tcBorders>
              <w:top w:val="single" w:sz="4" w:space="0" w:color="auto"/>
              <w:left w:val="single" w:sz="4" w:space="0" w:color="auto"/>
              <w:bottom w:val="single" w:sz="4" w:space="0" w:color="auto"/>
              <w:right w:val="single" w:sz="4" w:space="0" w:color="auto"/>
            </w:tcBorders>
          </w:tcPr>
          <w:p w14:paraId="4CECE8C3" w14:textId="77777777" w:rsidR="00F868B1" w:rsidRPr="00EF1752" w:rsidRDefault="00F868B1" w:rsidP="006E3232">
            <w:pPr>
              <w:bidi w:val="0"/>
              <w:jc w:val="center"/>
              <w:rPr>
                <w:sz w:val="22"/>
                <w:szCs w:val="24"/>
              </w:rPr>
            </w:pPr>
            <w:r w:rsidRPr="008537BD">
              <w:t>883.96</w:t>
            </w:r>
          </w:p>
        </w:tc>
      </w:tr>
      <w:tr w:rsidR="00F868B1" w14:paraId="47D6A793" w14:textId="77777777" w:rsidTr="006E3232">
        <w:tc>
          <w:tcPr>
            <w:tcW w:w="1478" w:type="dxa"/>
            <w:tcBorders>
              <w:top w:val="single" w:sz="4" w:space="0" w:color="auto"/>
              <w:left w:val="single" w:sz="4" w:space="0" w:color="auto"/>
              <w:bottom w:val="single" w:sz="4" w:space="0" w:color="auto"/>
              <w:right w:val="single" w:sz="4" w:space="0" w:color="auto"/>
            </w:tcBorders>
            <w:shd w:val="clear" w:color="auto" w:fill="auto"/>
          </w:tcPr>
          <w:p w14:paraId="1BBF09E5" w14:textId="77777777" w:rsidR="00F868B1" w:rsidRDefault="00F868B1" w:rsidP="006E3232">
            <w:pPr>
              <w:pStyle w:val="a7"/>
              <w:spacing w:line="240" w:lineRule="auto"/>
              <w:ind w:left="0"/>
              <w:rPr>
                <w:b/>
                <w:bCs/>
                <w:sz w:val="26"/>
                <w:rtl/>
              </w:rPr>
            </w:pPr>
            <w:r>
              <w:rPr>
                <w:rFonts w:hint="cs"/>
                <w:b/>
                <w:bCs/>
                <w:sz w:val="26"/>
                <w:rtl/>
              </w:rPr>
              <w:t>סטודנטים לתואר שני</w:t>
            </w:r>
          </w:p>
        </w:tc>
        <w:tc>
          <w:tcPr>
            <w:tcW w:w="3466" w:type="dxa"/>
            <w:tcBorders>
              <w:top w:val="single" w:sz="4" w:space="0" w:color="auto"/>
              <w:left w:val="single" w:sz="4" w:space="0" w:color="auto"/>
              <w:bottom w:val="single" w:sz="4" w:space="0" w:color="auto"/>
              <w:right w:val="single" w:sz="4" w:space="0" w:color="auto"/>
            </w:tcBorders>
            <w:shd w:val="clear" w:color="auto" w:fill="auto"/>
          </w:tcPr>
          <w:p w14:paraId="0AEB6791" w14:textId="77777777" w:rsidR="00F868B1" w:rsidRDefault="00F868B1" w:rsidP="006E3232">
            <w:pPr>
              <w:pStyle w:val="a7"/>
              <w:spacing w:line="240" w:lineRule="auto"/>
              <w:ind w:left="0"/>
              <w:rPr>
                <w:sz w:val="26"/>
                <w:rtl/>
              </w:rPr>
            </w:pPr>
            <w:r>
              <w:rPr>
                <w:rFonts w:hint="cs"/>
                <w:sz w:val="26"/>
                <w:rtl/>
              </w:rPr>
              <w:t xml:space="preserve">המדינה; ביטוח לאומי; שירות התעסוקה; </w:t>
            </w:r>
          </w:p>
          <w:p w14:paraId="03F0E332" w14:textId="77777777" w:rsidR="00F868B1" w:rsidRPr="001367C8" w:rsidRDefault="00F868B1" w:rsidP="006E3232">
            <w:pPr>
              <w:pStyle w:val="a7"/>
              <w:spacing w:line="240" w:lineRule="auto"/>
              <w:ind w:left="0"/>
              <w:rPr>
                <w:rtl/>
              </w:rPr>
            </w:pPr>
            <w:r>
              <w:rPr>
                <w:rFonts w:hint="cs"/>
                <w:sz w:val="26"/>
                <w:rtl/>
              </w:rPr>
              <w:t xml:space="preserve">מרכז השלטון המקומי; שלוש הערים הגדולות (כולל איכילוב ובני ציון); מרכז המועצות האזוריות; הדסה; שרותי בריאות כללית; </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4B48AD83" w14:textId="77777777" w:rsidR="00F868B1" w:rsidRDefault="00F868B1" w:rsidP="006E3232">
            <w:pPr>
              <w:jc w:val="center"/>
              <w:rPr>
                <w:rtl/>
              </w:rPr>
            </w:pPr>
            <w:r w:rsidRPr="008537BD">
              <w:t>2.62</w:t>
            </w:r>
          </w:p>
          <w:p w14:paraId="3E3544D8" w14:textId="77777777" w:rsidR="00F868B1" w:rsidRPr="00EF1752" w:rsidRDefault="00F868B1" w:rsidP="006E3232">
            <w:pPr>
              <w:jc w:val="center"/>
              <w:rPr>
                <w:sz w:val="22"/>
                <w:szCs w:val="24"/>
                <w:rtl/>
              </w:rPr>
            </w:pPr>
            <w:r>
              <w:rPr>
                <w:rFonts w:hint="cs"/>
                <w:rtl/>
              </w:rPr>
              <w:t>לשעה</w:t>
            </w:r>
          </w:p>
        </w:tc>
        <w:tc>
          <w:tcPr>
            <w:tcW w:w="1514" w:type="dxa"/>
            <w:tcBorders>
              <w:top w:val="single" w:sz="4" w:space="0" w:color="auto"/>
              <w:left w:val="single" w:sz="4" w:space="0" w:color="auto"/>
              <w:bottom w:val="single" w:sz="4" w:space="0" w:color="auto"/>
              <w:right w:val="single" w:sz="4" w:space="0" w:color="auto"/>
            </w:tcBorders>
          </w:tcPr>
          <w:p w14:paraId="1C9EEC89" w14:textId="77777777" w:rsidR="00F868B1" w:rsidRDefault="00F868B1" w:rsidP="006E3232">
            <w:pPr>
              <w:jc w:val="center"/>
              <w:rPr>
                <w:sz w:val="28"/>
                <w:szCs w:val="28"/>
                <w:rtl/>
              </w:rPr>
            </w:pPr>
            <w:r w:rsidRPr="008537BD">
              <w:t>2.69</w:t>
            </w:r>
          </w:p>
          <w:p w14:paraId="17E503FC" w14:textId="77777777" w:rsidR="00F868B1" w:rsidRPr="002C2D96" w:rsidRDefault="00F868B1" w:rsidP="006E3232">
            <w:pPr>
              <w:jc w:val="center"/>
              <w:rPr>
                <w:sz w:val="28"/>
                <w:szCs w:val="28"/>
                <w:rtl/>
              </w:rPr>
            </w:pPr>
            <w:r w:rsidRPr="005B4C44">
              <w:rPr>
                <w:rFonts w:hint="cs"/>
                <w:sz w:val="26"/>
                <w:rtl/>
              </w:rPr>
              <w:t>לשעה</w:t>
            </w:r>
          </w:p>
        </w:tc>
      </w:tr>
    </w:tbl>
    <w:p w14:paraId="10E781C1" w14:textId="77777777" w:rsidR="00F868B1" w:rsidRDefault="00F868B1" w:rsidP="00F868B1">
      <w:pPr>
        <w:ind w:left="1440"/>
        <w:rPr>
          <w:rtl/>
        </w:rPr>
      </w:pPr>
    </w:p>
    <w:p w14:paraId="1C698A4E" w14:textId="77777777" w:rsidR="00F868B1" w:rsidRDefault="00F868B1" w:rsidP="00F868B1">
      <w:pPr>
        <w:ind w:left="1440"/>
        <w:rPr>
          <w:rtl/>
        </w:rPr>
      </w:pPr>
    </w:p>
    <w:p w14:paraId="17EB86DD" w14:textId="77777777" w:rsidR="00F868B1" w:rsidRDefault="00F868B1" w:rsidP="00F868B1">
      <w:pPr>
        <w:numPr>
          <w:ilvl w:val="0"/>
          <w:numId w:val="8"/>
        </w:numPr>
        <w:tabs>
          <w:tab w:val="clear" w:pos="1080"/>
          <w:tab w:val="num" w:pos="800"/>
        </w:tabs>
        <w:spacing w:before="0" w:line="240" w:lineRule="auto"/>
        <w:ind w:left="800" w:hanging="440"/>
        <w:rPr>
          <w:b/>
          <w:bCs/>
          <w:sz w:val="28"/>
          <w:szCs w:val="28"/>
          <w:u w:val="single"/>
        </w:rPr>
      </w:pPr>
      <w:r w:rsidRPr="00A8468E">
        <w:rPr>
          <w:rFonts w:hint="cs"/>
          <w:b/>
          <w:bCs/>
          <w:sz w:val="28"/>
          <w:szCs w:val="28"/>
          <w:u w:val="single"/>
          <w:rtl/>
        </w:rPr>
        <w:t xml:space="preserve">הבהרות לגבי עובדים של מעסיקים החתומים על הסכם המסגרת אך אינם מפורטים בטבלה שבסעיף </w:t>
      </w:r>
      <w:r>
        <w:rPr>
          <w:rFonts w:hint="cs"/>
          <w:b/>
          <w:bCs/>
          <w:sz w:val="28"/>
          <w:szCs w:val="28"/>
          <w:u w:val="single"/>
          <w:rtl/>
        </w:rPr>
        <w:t>1</w:t>
      </w:r>
      <w:r w:rsidRPr="004C2759">
        <w:rPr>
          <w:rFonts w:hint="cs"/>
          <w:b/>
          <w:bCs/>
          <w:sz w:val="28"/>
          <w:szCs w:val="28"/>
          <w:u w:val="single"/>
          <w:rtl/>
        </w:rPr>
        <w:t xml:space="preserve"> לעיל:</w:t>
      </w:r>
    </w:p>
    <w:p w14:paraId="41A18C6D" w14:textId="77777777" w:rsidR="00F868B1" w:rsidRDefault="00F868B1" w:rsidP="00F868B1">
      <w:pPr>
        <w:ind w:left="720"/>
        <w:rPr>
          <w:rtl/>
        </w:rPr>
      </w:pPr>
      <w:r w:rsidRPr="00D962DE">
        <w:rPr>
          <w:rFonts w:hint="cs"/>
          <w:rtl/>
        </w:rPr>
        <w:t xml:space="preserve">לגבי </w:t>
      </w:r>
      <w:r w:rsidRPr="002272D8">
        <w:rPr>
          <w:rFonts w:hint="cs"/>
          <w:rtl/>
        </w:rPr>
        <w:t>עובד המועסק על ידי אחד מ</w:t>
      </w:r>
      <w:r w:rsidRPr="00EB3B6A">
        <w:rPr>
          <w:rFonts w:hint="cs"/>
          <w:rtl/>
        </w:rPr>
        <w:t xml:space="preserve">המעסיקים המפורטים </w:t>
      </w:r>
      <w:r w:rsidRPr="00765A00">
        <w:rPr>
          <w:rFonts w:hint="cs"/>
          <w:rtl/>
        </w:rPr>
        <w:t>להלן, אשר חתומים</w:t>
      </w:r>
      <w:r w:rsidRPr="002272D8">
        <w:rPr>
          <w:rFonts w:hint="cs"/>
          <w:rtl/>
        </w:rPr>
        <w:t xml:space="preserve"> </w:t>
      </w:r>
      <w:r>
        <w:rPr>
          <w:rFonts w:hint="cs"/>
          <w:rtl/>
        </w:rPr>
        <w:t xml:space="preserve">או יחתמו </w:t>
      </w:r>
      <w:r w:rsidRPr="002272D8">
        <w:rPr>
          <w:rFonts w:hint="cs"/>
          <w:rtl/>
        </w:rPr>
        <w:t>על הסכם המסגרת ואשר אינם מפורטים בט</w:t>
      </w:r>
      <w:r w:rsidRPr="00EB3B6A">
        <w:rPr>
          <w:rFonts w:hint="cs"/>
          <w:rtl/>
        </w:rPr>
        <w:t xml:space="preserve">בלה שבסעיף </w:t>
      </w:r>
      <w:r>
        <w:rPr>
          <w:rFonts w:hint="cs"/>
          <w:rtl/>
        </w:rPr>
        <w:t>1</w:t>
      </w:r>
      <w:r w:rsidRPr="00765A00">
        <w:rPr>
          <w:rFonts w:hint="cs"/>
          <w:rtl/>
        </w:rPr>
        <w:t xml:space="preserve"> </w:t>
      </w:r>
      <w:r>
        <w:rPr>
          <w:rtl/>
        </w:rPr>
        <w:t>–</w:t>
      </w:r>
      <w:r w:rsidRPr="00765A00">
        <w:rPr>
          <w:rFonts w:hint="cs"/>
          <w:rtl/>
        </w:rPr>
        <w:t xml:space="preserve"> </w:t>
      </w:r>
      <w:r>
        <w:rPr>
          <w:rFonts w:hint="cs"/>
          <w:rtl/>
        </w:rPr>
        <w:t xml:space="preserve">על כל מעסיק לעדכן את התוספת </w:t>
      </w:r>
      <w:proofErr w:type="spellStart"/>
      <w:r>
        <w:rPr>
          <w:rFonts w:hint="cs"/>
          <w:rtl/>
        </w:rPr>
        <w:t>השקלית</w:t>
      </w:r>
      <w:proofErr w:type="spellEnd"/>
      <w:r>
        <w:rPr>
          <w:rFonts w:hint="cs"/>
          <w:rtl/>
        </w:rPr>
        <w:t xml:space="preserve"> המשולמת לעובדיו בשיעור כאמור בחוזר זה (2.644%) ו</w:t>
      </w:r>
      <w:r w:rsidRPr="00D962DE">
        <w:rPr>
          <w:rFonts w:hint="cs"/>
          <w:rtl/>
        </w:rPr>
        <w:t xml:space="preserve">הוראות בדבר </w:t>
      </w:r>
      <w:r>
        <w:rPr>
          <w:rFonts w:hint="cs"/>
          <w:rtl/>
        </w:rPr>
        <w:t xml:space="preserve">עדכון </w:t>
      </w:r>
      <w:r w:rsidRPr="00D962DE">
        <w:rPr>
          <w:rFonts w:hint="cs"/>
          <w:rtl/>
        </w:rPr>
        <w:t xml:space="preserve">תוספת שקלית 2016 יפורסמו בנפרד על ידי כל מעסיק עבור עובדיו, </w:t>
      </w:r>
      <w:r w:rsidRPr="00D962DE">
        <w:rPr>
          <w:rFonts w:hint="cs"/>
          <w:u w:val="single"/>
          <w:rtl/>
        </w:rPr>
        <w:t>לאחר שיתקבל אישור מפורש ובכתב</w:t>
      </w:r>
      <w:r w:rsidRPr="00D962DE">
        <w:rPr>
          <w:rFonts w:hint="cs"/>
          <w:rtl/>
        </w:rPr>
        <w:t xml:space="preserve"> של הממונה על השכר והסכמי העבודה בנוגע ל</w:t>
      </w:r>
      <w:r>
        <w:rPr>
          <w:rFonts w:hint="cs"/>
          <w:rtl/>
        </w:rPr>
        <w:t>חישוב</w:t>
      </w:r>
      <w:r w:rsidRPr="00D962DE">
        <w:rPr>
          <w:rFonts w:hint="cs"/>
          <w:rtl/>
        </w:rPr>
        <w:t>:</w:t>
      </w:r>
    </w:p>
    <w:p w14:paraId="6D94F7A7" w14:textId="77777777" w:rsidR="00F868B1" w:rsidRDefault="00F868B1" w:rsidP="00F868B1">
      <w:pPr>
        <w:numPr>
          <w:ilvl w:val="0"/>
          <w:numId w:val="9"/>
        </w:numPr>
        <w:spacing w:before="0" w:after="0" w:line="240" w:lineRule="auto"/>
        <w:ind w:left="1440"/>
        <w:rPr>
          <w:rtl/>
        </w:rPr>
      </w:pPr>
      <w:r>
        <w:rPr>
          <w:rFonts w:hint="cs"/>
          <w:rtl/>
        </w:rPr>
        <w:t>חבר המועצות הדתיות בישראל</w:t>
      </w:r>
    </w:p>
    <w:p w14:paraId="06EDBB81" w14:textId="77777777" w:rsidR="00F868B1" w:rsidRDefault="00F868B1" w:rsidP="00F868B1">
      <w:pPr>
        <w:numPr>
          <w:ilvl w:val="0"/>
          <w:numId w:val="9"/>
        </w:numPr>
        <w:spacing w:before="0" w:after="0" w:line="240" w:lineRule="auto"/>
        <w:ind w:left="1440"/>
      </w:pPr>
      <w:r>
        <w:rPr>
          <w:rFonts w:hint="cs"/>
          <w:rtl/>
        </w:rPr>
        <w:t>האוניברסיטאות</w:t>
      </w:r>
    </w:p>
    <w:p w14:paraId="693F04D3" w14:textId="77777777" w:rsidR="00F868B1" w:rsidRDefault="00F868B1" w:rsidP="00F868B1">
      <w:pPr>
        <w:numPr>
          <w:ilvl w:val="0"/>
          <w:numId w:val="9"/>
        </w:numPr>
        <w:spacing w:before="0" w:after="0" w:line="240" w:lineRule="auto"/>
        <w:ind w:left="1440"/>
        <w:rPr>
          <w:rtl/>
        </w:rPr>
      </w:pPr>
      <w:r>
        <w:rPr>
          <w:rFonts w:hint="cs"/>
          <w:rtl/>
        </w:rPr>
        <w:t>הסתדרות מדיצינית הדסה.</w:t>
      </w:r>
    </w:p>
    <w:p w14:paraId="31A8FF00" w14:textId="77777777" w:rsidR="00F868B1" w:rsidRDefault="00F868B1" w:rsidP="00F868B1">
      <w:pPr>
        <w:numPr>
          <w:ilvl w:val="0"/>
          <w:numId w:val="9"/>
        </w:numPr>
        <w:spacing w:before="0" w:after="0" w:line="240" w:lineRule="auto"/>
        <w:ind w:left="1440"/>
        <w:rPr>
          <w:rtl/>
        </w:rPr>
      </w:pPr>
      <w:r>
        <w:rPr>
          <w:rFonts w:hint="cs"/>
          <w:rtl/>
        </w:rPr>
        <w:t>שירותי בריאות כללית.</w:t>
      </w:r>
    </w:p>
    <w:p w14:paraId="3B4B6F81" w14:textId="77777777" w:rsidR="00F868B1" w:rsidRDefault="00F868B1" w:rsidP="00F868B1">
      <w:pPr>
        <w:numPr>
          <w:ilvl w:val="0"/>
          <w:numId w:val="9"/>
        </w:numPr>
        <w:spacing w:before="0" w:after="0" w:line="240" w:lineRule="auto"/>
        <w:ind w:left="1440"/>
      </w:pPr>
      <w:r>
        <w:rPr>
          <w:rFonts w:hint="cs"/>
          <w:rtl/>
        </w:rPr>
        <w:t>חברת דואר ישראל בע"מ.</w:t>
      </w:r>
    </w:p>
    <w:p w14:paraId="58016CCC" w14:textId="77777777" w:rsidR="00F868B1" w:rsidRDefault="00F868B1" w:rsidP="00F868B1">
      <w:pPr>
        <w:ind w:left="1080"/>
        <w:rPr>
          <w:rtl/>
        </w:rPr>
      </w:pPr>
    </w:p>
    <w:p w14:paraId="49B7AC25" w14:textId="77777777" w:rsidR="00F868B1" w:rsidRPr="003E5709" w:rsidRDefault="00F868B1" w:rsidP="00F868B1">
      <w:pPr>
        <w:numPr>
          <w:ilvl w:val="0"/>
          <w:numId w:val="8"/>
        </w:numPr>
        <w:spacing w:before="0" w:after="0" w:line="240" w:lineRule="auto"/>
        <w:rPr>
          <w:b/>
          <w:bCs/>
          <w:sz w:val="28"/>
          <w:szCs w:val="28"/>
          <w:u w:val="single"/>
        </w:rPr>
      </w:pPr>
      <w:r w:rsidRPr="003E5709">
        <w:rPr>
          <w:rFonts w:hint="cs"/>
          <w:b/>
          <w:bCs/>
          <w:sz w:val="28"/>
          <w:szCs w:val="28"/>
          <w:u w:val="single"/>
          <w:rtl/>
        </w:rPr>
        <w:t>ביצוע תשלום תוספת</w:t>
      </w:r>
      <w:r>
        <w:rPr>
          <w:rFonts w:hint="cs"/>
          <w:b/>
          <w:bCs/>
          <w:sz w:val="28"/>
          <w:szCs w:val="28"/>
          <w:u w:val="single"/>
          <w:rtl/>
        </w:rPr>
        <w:t xml:space="preserve"> שקלית 2016 המעודכנת</w:t>
      </w:r>
    </w:p>
    <w:p w14:paraId="2653DFB5" w14:textId="77777777" w:rsidR="00F868B1" w:rsidRDefault="00F868B1" w:rsidP="00F868B1">
      <w:pPr>
        <w:ind w:left="1080"/>
        <w:rPr>
          <w:rtl/>
        </w:rPr>
      </w:pPr>
      <w:r w:rsidRPr="001C052C">
        <w:rPr>
          <w:rFonts w:hint="cs"/>
          <w:rtl/>
        </w:rPr>
        <w:t xml:space="preserve">התשלומים הנובעים מסעיף </w:t>
      </w:r>
      <w:r>
        <w:rPr>
          <w:rFonts w:hint="cs"/>
          <w:rtl/>
        </w:rPr>
        <w:t xml:space="preserve">1 לחוזר זה </w:t>
      </w:r>
      <w:r w:rsidRPr="001C052C">
        <w:rPr>
          <w:rFonts w:hint="cs"/>
          <w:rtl/>
        </w:rPr>
        <w:t xml:space="preserve">ישולמו החל במשכורת </w:t>
      </w:r>
      <w:r>
        <w:rPr>
          <w:rFonts w:hint="cs"/>
          <w:rtl/>
        </w:rPr>
        <w:t>חודש ינואר 2026</w:t>
      </w:r>
      <w:r w:rsidRPr="001C052C">
        <w:rPr>
          <w:rFonts w:hint="cs"/>
          <w:rtl/>
        </w:rPr>
        <w:t xml:space="preserve"> ולא יאוחר ממשכורת </w:t>
      </w:r>
      <w:r>
        <w:rPr>
          <w:rFonts w:hint="cs"/>
          <w:rtl/>
        </w:rPr>
        <w:t>חודש פברואר 2026</w:t>
      </w:r>
      <w:r w:rsidRPr="001C052C">
        <w:rPr>
          <w:rFonts w:hint="cs"/>
          <w:rtl/>
        </w:rPr>
        <w:t>.</w:t>
      </w:r>
    </w:p>
    <w:p w14:paraId="7AB9FB8A" w14:textId="77777777" w:rsidR="00F868B1" w:rsidRDefault="00F868B1" w:rsidP="00F868B1">
      <w:pPr>
        <w:rPr>
          <w:rtl/>
        </w:rPr>
      </w:pPr>
    </w:p>
    <w:p w14:paraId="4BF3E6B3" w14:textId="77777777" w:rsidR="00F868B1" w:rsidRPr="00963945" w:rsidRDefault="00F868B1" w:rsidP="00F868B1">
      <w:pPr>
        <w:rPr>
          <w:rtl/>
        </w:rPr>
      </w:pPr>
    </w:p>
    <w:p w14:paraId="66E64DBF" w14:textId="77777777" w:rsidR="00F868B1" w:rsidRPr="00963945" w:rsidRDefault="00F868B1" w:rsidP="00F868B1">
      <w:pPr>
        <w:rPr>
          <w:rtl/>
        </w:rPr>
      </w:pPr>
    </w:p>
    <w:p w14:paraId="2C4187BB" w14:textId="77777777" w:rsidR="00F868B1" w:rsidRDefault="00F868B1" w:rsidP="00F868B1">
      <w:pPr>
        <w:tabs>
          <w:tab w:val="center" w:pos="3918"/>
          <w:tab w:val="center" w:pos="5619"/>
        </w:tabs>
        <w:rPr>
          <w:rtl/>
        </w:rPr>
      </w:pPr>
      <w:r>
        <w:rPr>
          <w:rFonts w:hint="cs"/>
          <w:rtl/>
        </w:rPr>
        <w:tab/>
      </w:r>
      <w:r>
        <w:rPr>
          <w:rFonts w:hint="cs"/>
          <w:rtl/>
        </w:rPr>
        <w:tab/>
        <w:t>בברכה,</w:t>
      </w:r>
    </w:p>
    <w:p w14:paraId="6900E7A0" w14:textId="77777777" w:rsidR="00F868B1" w:rsidRDefault="00F868B1" w:rsidP="00F868B1">
      <w:pPr>
        <w:tabs>
          <w:tab w:val="center" w:pos="3918"/>
          <w:tab w:val="center" w:pos="5619"/>
        </w:tabs>
        <w:rPr>
          <w:rtl/>
        </w:rPr>
      </w:pPr>
    </w:p>
    <w:p w14:paraId="62C2C508" w14:textId="77777777" w:rsidR="00F868B1" w:rsidRDefault="00F868B1" w:rsidP="00F868B1">
      <w:pPr>
        <w:tabs>
          <w:tab w:val="center" w:pos="3918"/>
          <w:tab w:val="center" w:pos="5619"/>
        </w:tabs>
        <w:rPr>
          <w:rtl/>
        </w:rPr>
      </w:pPr>
      <w:r>
        <w:rPr>
          <w:rFonts w:hint="cs"/>
          <w:rtl/>
        </w:rPr>
        <w:tab/>
      </w:r>
      <w:r>
        <w:rPr>
          <w:rFonts w:hint="cs"/>
          <w:rtl/>
        </w:rPr>
        <w:tab/>
        <w:t>אפי מלכין</w:t>
      </w:r>
    </w:p>
    <w:p w14:paraId="650DB0ED" w14:textId="77777777" w:rsidR="00F868B1" w:rsidRPr="00963945" w:rsidRDefault="00F868B1" w:rsidP="00F868B1">
      <w:pPr>
        <w:tabs>
          <w:tab w:val="center" w:pos="3918"/>
          <w:tab w:val="center" w:pos="5619"/>
        </w:tabs>
        <w:rPr>
          <w:rtl/>
        </w:rPr>
      </w:pPr>
      <w:r>
        <w:rPr>
          <w:rFonts w:hint="cs"/>
          <w:rtl/>
        </w:rPr>
        <w:tab/>
      </w:r>
      <w:r>
        <w:rPr>
          <w:rFonts w:hint="cs"/>
          <w:rtl/>
        </w:rPr>
        <w:tab/>
        <w:t>הממונה על השכר והסכמי עבודה</w:t>
      </w:r>
    </w:p>
    <w:p w14:paraId="594958F3" w14:textId="77777777" w:rsidR="00F868B1" w:rsidRDefault="00F868B1" w:rsidP="00F868B1">
      <w:pPr>
        <w:spacing w:before="0" w:after="0" w:line="276" w:lineRule="auto"/>
        <w:rPr>
          <w:rtl/>
        </w:rPr>
      </w:pPr>
    </w:p>
    <w:p w14:paraId="6DE64ED9" w14:textId="77777777" w:rsidR="00F868B1" w:rsidRPr="00963945" w:rsidRDefault="00F868B1" w:rsidP="00F868B1">
      <w:pPr>
        <w:spacing w:before="0" w:after="0" w:line="276" w:lineRule="auto"/>
        <w:rPr>
          <w:rtl/>
        </w:rPr>
      </w:pPr>
      <w:r w:rsidRPr="00963945">
        <w:rPr>
          <w:rFonts w:hint="cs"/>
          <w:rtl/>
        </w:rPr>
        <w:t>העתק :</w:t>
      </w:r>
    </w:p>
    <w:p w14:paraId="376BBC3D" w14:textId="77777777" w:rsidR="00F868B1" w:rsidRPr="00963945" w:rsidRDefault="00F868B1" w:rsidP="00F868B1">
      <w:pPr>
        <w:spacing w:before="0" w:after="0" w:line="276" w:lineRule="auto"/>
        <w:rPr>
          <w:rtl/>
        </w:rPr>
      </w:pPr>
      <w:r>
        <w:rPr>
          <w:rFonts w:hint="cs"/>
          <w:rtl/>
        </w:rPr>
        <w:t xml:space="preserve">פרופ' דניאל הרשקוביץ </w:t>
      </w:r>
      <w:r>
        <w:rPr>
          <w:rtl/>
        </w:rPr>
        <w:t>–</w:t>
      </w:r>
      <w:r>
        <w:rPr>
          <w:rFonts w:hint="cs"/>
          <w:rtl/>
        </w:rPr>
        <w:t xml:space="preserve"> מ"מ </w:t>
      </w:r>
      <w:r w:rsidRPr="00963945">
        <w:rPr>
          <w:rFonts w:hint="cs"/>
          <w:rtl/>
        </w:rPr>
        <w:t>נציב שירות המדינה</w:t>
      </w:r>
    </w:p>
    <w:p w14:paraId="3B214F18" w14:textId="77777777" w:rsidR="00F868B1" w:rsidRDefault="00F868B1" w:rsidP="00F868B1"/>
    <w:p w14:paraId="054A8E59" w14:textId="680B1D7A" w:rsidR="003C7BC8" w:rsidRPr="00F868B1" w:rsidRDefault="003C7BC8" w:rsidP="00F868B1"/>
    <w:sectPr w:rsidR="003C7BC8" w:rsidRPr="00F868B1" w:rsidSect="00851D4A">
      <w:headerReference w:type="default" r:id="rId8"/>
      <w:footerReference w:type="default" r:id="rId9"/>
      <w:pgSz w:w="11906" w:h="16838"/>
      <w:pgMar w:top="2410" w:right="1800" w:bottom="1440" w:left="1800" w:header="708"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FF12" w14:textId="77777777" w:rsidR="00A11BD4" w:rsidRDefault="00A11BD4" w:rsidP="00B8755D">
      <w:pPr>
        <w:spacing w:before="0" w:after="0" w:line="240" w:lineRule="auto"/>
      </w:pPr>
      <w:r>
        <w:separator/>
      </w:r>
    </w:p>
  </w:endnote>
  <w:endnote w:type="continuationSeparator" w:id="0">
    <w:p w14:paraId="5A46415D" w14:textId="77777777" w:rsidR="00A11BD4" w:rsidRDefault="00A11BD4" w:rsidP="00B875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pPr w:leftFromText="180" w:rightFromText="180" w:vertAnchor="text" w:horzAnchor="margin" w:tblpXSpec="center" w:tblpY="-249"/>
      <w:tblOverlap w:val="never"/>
      <w:bidiVisual/>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3" w:type="dxa"/>
      </w:tblCellMar>
      <w:tblLook w:val="04A0" w:firstRow="1" w:lastRow="0" w:firstColumn="1" w:lastColumn="0" w:noHBand="0" w:noVBand="1"/>
      <w:tblCaption w:val="HozSacharBottomTitle"/>
      <w:tblDescription w:val="פרטי התקשרות"/>
    </w:tblPr>
    <w:tblGrid>
      <w:gridCol w:w="453"/>
      <w:gridCol w:w="2345"/>
      <w:gridCol w:w="453"/>
      <w:gridCol w:w="2150"/>
      <w:gridCol w:w="453"/>
      <w:gridCol w:w="4715"/>
    </w:tblGrid>
    <w:tr w:rsidR="00EB73B6" w14:paraId="4A3F8B40" w14:textId="77777777" w:rsidTr="00DF0CEA">
      <w:trPr>
        <w:trHeight w:val="20"/>
      </w:trPr>
      <w:tc>
        <w:tcPr>
          <w:tcW w:w="453" w:type="dxa"/>
          <w:vAlign w:val="center"/>
        </w:tcPr>
        <w:p w14:paraId="3520B6F3" w14:textId="77777777" w:rsidR="00EB73B6" w:rsidRDefault="00EB73B6" w:rsidP="00EB73B6">
          <w:pPr>
            <w:pStyle w:val="aa"/>
            <w:jc w:val="center"/>
            <w:rPr>
              <w:rtl/>
            </w:rPr>
          </w:pPr>
          <w:r>
            <w:rPr>
              <w:rFonts w:hint="cs"/>
              <w:noProof/>
              <w:rtl/>
            </w:rPr>
            <w:drawing>
              <wp:inline distT="0" distB="0" distL="0" distR="0" wp14:anchorId="5A50C102" wp14:editId="67094EA7">
                <wp:extent cx="216000" cy="216000"/>
                <wp:effectExtent l="0" t="0" r="0" b="0"/>
                <wp:docPr id="212" name="Picture 19" title="מיק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ress.png"/>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2345" w:type="dxa"/>
          <w:vAlign w:val="center"/>
        </w:tcPr>
        <w:p w14:paraId="431749C4" w14:textId="77777777" w:rsidR="00EB73B6" w:rsidRDefault="00EB73B6" w:rsidP="00EB73B6">
          <w:pPr>
            <w:pStyle w:val="aa"/>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 xml:space="preserve">רח' קפלן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1</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ירושלים</w:t>
          </w:r>
        </w:p>
        <w:p w14:paraId="6F75B499" w14:textId="77777777" w:rsidR="00EB73B6" w:rsidRPr="00F31839" w:rsidRDefault="00EB73B6" w:rsidP="00EB73B6">
          <w:pPr>
            <w:pStyle w:val="aa"/>
            <w:jc w:val="left"/>
            <w:rPr>
              <w:sz w:val="20"/>
              <w:szCs w:val="22"/>
              <w:rtl/>
            </w:rPr>
          </w:pPr>
          <w:r w:rsidRPr="009D2279">
            <w:rPr>
              <w:rFonts w:asciiTheme="minorHAnsi" w:hAnsiTheme="minorHAnsi" w:cstheme="minorHAnsi"/>
              <w:color w:val="404040" w:themeColor="text1" w:themeTint="BF"/>
              <w:sz w:val="20"/>
              <w:szCs w:val="22"/>
              <w:rtl/>
            </w:rPr>
            <w:t>9103002</w:t>
          </w:r>
          <w:r w:rsidRPr="009D2279">
            <w:rPr>
              <w:rFonts w:asciiTheme="minorHAnsi" w:hAnsiTheme="minorHAnsi" w:cstheme="minorHAnsi" w:hint="cs"/>
              <w:color w:val="404040" w:themeColor="text1" w:themeTint="BF"/>
              <w:sz w:val="20"/>
              <w:szCs w:val="22"/>
              <w:rtl/>
            </w:rPr>
            <w:t xml:space="preserve">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ת.ד</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3100</w:t>
          </w:r>
        </w:p>
      </w:tc>
      <w:tc>
        <w:tcPr>
          <w:tcW w:w="453" w:type="dxa"/>
          <w:vAlign w:val="center"/>
        </w:tcPr>
        <w:p w14:paraId="119E4DF7" w14:textId="77777777" w:rsidR="00EB73B6" w:rsidRDefault="00EB73B6" w:rsidP="00EB73B6">
          <w:pPr>
            <w:pStyle w:val="aa"/>
            <w:jc w:val="center"/>
          </w:pPr>
          <w:r>
            <w:rPr>
              <w:noProof/>
            </w:rPr>
            <w:drawing>
              <wp:inline distT="0" distB="0" distL="0" distR="0" wp14:anchorId="6B1B5035" wp14:editId="11E0DE8B">
                <wp:extent cx="216000" cy="224186"/>
                <wp:effectExtent l="0" t="0" r="0" b="4445"/>
                <wp:docPr id="213" name="Picture 20" title="טלפ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ne.png"/>
                        <pic:cNvPicPr/>
                      </pic:nvPicPr>
                      <pic:blipFill>
                        <a:blip r:embed="rId2">
                          <a:extLst>
                            <a:ext uri="{28A0092B-C50C-407E-A947-70E740481C1C}">
                              <a14:useLocalDpi xmlns:a14="http://schemas.microsoft.com/office/drawing/2010/main" val="0"/>
                            </a:ext>
                          </a:extLst>
                        </a:blip>
                        <a:stretch>
                          <a:fillRect/>
                        </a:stretch>
                      </pic:blipFill>
                      <pic:spPr>
                        <a:xfrm flipH="1">
                          <a:off x="0" y="0"/>
                          <a:ext cx="216000" cy="224186"/>
                        </a:xfrm>
                        <a:prstGeom prst="rect">
                          <a:avLst/>
                        </a:prstGeom>
                      </pic:spPr>
                    </pic:pic>
                  </a:graphicData>
                </a:graphic>
              </wp:inline>
            </w:drawing>
          </w:r>
        </w:p>
      </w:tc>
      <w:tc>
        <w:tcPr>
          <w:tcW w:w="2150" w:type="dxa"/>
          <w:vAlign w:val="center"/>
        </w:tcPr>
        <w:p w14:paraId="0121C44B" w14:textId="77777777" w:rsidR="00EB73B6" w:rsidRPr="009D2279" w:rsidRDefault="00EB73B6" w:rsidP="00EB73B6">
          <w:pPr>
            <w:pStyle w:val="aa"/>
            <w:jc w:val="left"/>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טל'</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5317</w:t>
          </w:r>
          <w:r>
            <w:rPr>
              <w:rFonts w:asciiTheme="minorHAnsi" w:hAnsiTheme="minorHAnsi" w:cstheme="minorHAnsi" w:hint="cs"/>
              <w:color w:val="404040" w:themeColor="text1" w:themeTint="BF"/>
              <w:sz w:val="20"/>
              <w:szCs w:val="22"/>
              <w:rtl/>
            </w:rPr>
            <w:t>189</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 xml:space="preserve"> 02</w:t>
          </w:r>
        </w:p>
        <w:p w14:paraId="07741045" w14:textId="77777777" w:rsidR="00EB73B6" w:rsidRDefault="00EB73B6" w:rsidP="00EB73B6">
          <w:pPr>
            <w:pStyle w:val="aa"/>
            <w:jc w:val="left"/>
            <w:rPr>
              <w:rtl/>
            </w:rPr>
          </w:pPr>
        </w:p>
      </w:tc>
      <w:tc>
        <w:tcPr>
          <w:tcW w:w="453" w:type="dxa"/>
          <w:vAlign w:val="center"/>
        </w:tcPr>
        <w:p w14:paraId="0AA0E231" w14:textId="77777777" w:rsidR="00EB73B6" w:rsidRDefault="00EB73B6" w:rsidP="00EB73B6">
          <w:pPr>
            <w:pStyle w:val="aa"/>
            <w:jc w:val="center"/>
            <w:rPr>
              <w:rtl/>
            </w:rPr>
          </w:pPr>
          <w:r>
            <w:rPr>
              <w:rFonts w:hint="cs"/>
              <w:noProof/>
              <w:rtl/>
            </w:rPr>
            <w:drawing>
              <wp:inline distT="0" distB="0" distL="0" distR="0" wp14:anchorId="7AC63383" wp14:editId="20B33190">
                <wp:extent cx="216000" cy="216000"/>
                <wp:effectExtent l="0" t="0" r="0" b="0"/>
                <wp:docPr id="214" name="Picture 21" title="ק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3">
                          <a:extLst>
                            <a:ext uri="{28A0092B-C50C-407E-A947-70E740481C1C}">
                              <a14:useLocalDpi xmlns:a14="http://schemas.microsoft.com/office/drawing/2010/main" val="0"/>
                            </a:ext>
                          </a:extLst>
                        </a:blip>
                        <a:stretch>
                          <a:fillRect/>
                        </a:stretch>
                      </pic:blipFill>
                      <pic:spPr>
                        <a:xfrm flipH="1">
                          <a:off x="0" y="0"/>
                          <a:ext cx="216000" cy="216000"/>
                        </a:xfrm>
                        <a:prstGeom prst="rect">
                          <a:avLst/>
                        </a:prstGeom>
                      </pic:spPr>
                    </pic:pic>
                  </a:graphicData>
                </a:graphic>
              </wp:inline>
            </w:drawing>
          </w:r>
        </w:p>
      </w:tc>
      <w:tc>
        <w:tcPr>
          <w:tcW w:w="4715" w:type="dxa"/>
          <w:vAlign w:val="center"/>
        </w:tcPr>
        <w:p w14:paraId="5912167A" w14:textId="77777777" w:rsidR="00EB73B6" w:rsidRPr="00080329" w:rsidRDefault="00EB73B6" w:rsidP="00EB73B6">
          <w:pPr>
            <w:pStyle w:val="aa"/>
            <w:rPr>
              <w:rStyle w:val="Hyperlink"/>
              <w:rFonts w:asciiTheme="minorHAnsi" w:hAnsiTheme="minorHAnsi" w:cstheme="minorHAnsi"/>
              <w:sz w:val="28"/>
              <w:szCs w:val="28"/>
              <w:rtl/>
            </w:rPr>
          </w:pPr>
          <w:r>
            <w:rPr>
              <w:rFonts w:asciiTheme="minorHAnsi" w:hAnsiTheme="minorHAnsi" w:cstheme="minorHAnsi" w:hint="cs"/>
              <w:color w:val="404040" w:themeColor="text1" w:themeTint="BF"/>
              <w:sz w:val="22"/>
              <w:szCs w:val="22"/>
              <w:rtl/>
            </w:rPr>
            <w:t>מערכת חוזרים</w:t>
          </w:r>
          <w:r>
            <w:rPr>
              <w:rFonts w:hint="cs"/>
              <w:rtl/>
            </w:rPr>
            <w:t>:</w:t>
          </w:r>
          <w:r>
            <w:rPr>
              <w:rtl/>
            </w:rPr>
            <w:tab/>
          </w:r>
          <w:hyperlink r:id="rId4" w:history="1">
            <w:r w:rsidRPr="00080329">
              <w:rPr>
                <w:rStyle w:val="Hyperlink"/>
                <w:rFonts w:asciiTheme="minorHAnsi" w:hAnsiTheme="minorHAnsi" w:cstheme="minorHAnsi"/>
                <w:color w:val="365F91" w:themeColor="accent1" w:themeShade="BF"/>
                <w:sz w:val="22"/>
                <w:szCs w:val="22"/>
              </w:rPr>
              <w:t>www.</w:t>
            </w:r>
            <w:r w:rsidRPr="00080329">
              <w:rPr>
                <w:rStyle w:val="Hyperlink"/>
                <w:rFonts w:asciiTheme="minorHAnsi" w:hAnsiTheme="minorHAnsi" w:cstheme="minorHAnsi" w:hint="cs"/>
                <w:color w:val="365F91" w:themeColor="accent1" w:themeShade="BF"/>
                <w:sz w:val="22"/>
                <w:szCs w:val="22"/>
              </w:rPr>
              <w:t>hozrimsachar.mof.gov</w:t>
            </w:r>
            <w:r w:rsidRPr="00080329">
              <w:rPr>
                <w:rStyle w:val="Hyperlink"/>
                <w:rFonts w:asciiTheme="minorHAnsi" w:hAnsiTheme="minorHAnsi" w:cstheme="minorHAnsi"/>
                <w:color w:val="365F91" w:themeColor="accent1" w:themeShade="BF"/>
                <w:sz w:val="22"/>
                <w:szCs w:val="22"/>
              </w:rPr>
              <w:t>.il</w:t>
            </w:r>
          </w:hyperlink>
        </w:p>
        <w:p w14:paraId="25F53002" w14:textId="77777777" w:rsidR="00EB73B6" w:rsidRPr="00080329" w:rsidRDefault="00EB73B6" w:rsidP="00EB73B6">
          <w:pPr>
            <w:pStyle w:val="aa"/>
            <w:rPr>
              <w:rtl/>
            </w:rPr>
          </w:pPr>
          <w:r>
            <w:rPr>
              <w:rFonts w:asciiTheme="minorHAnsi" w:hAnsiTheme="minorHAnsi" w:cstheme="minorHAnsi" w:hint="cs"/>
              <w:color w:val="404040" w:themeColor="text1" w:themeTint="BF"/>
              <w:sz w:val="22"/>
              <w:szCs w:val="22"/>
              <w:rtl/>
            </w:rPr>
            <w:t>דוא"ל:</w:t>
          </w:r>
          <w:r>
            <w:rPr>
              <w:rFonts w:asciiTheme="minorHAnsi" w:hAnsiTheme="minorHAnsi" w:cstheme="minorHAnsi"/>
              <w:color w:val="404040" w:themeColor="text1" w:themeTint="BF"/>
              <w:sz w:val="22"/>
              <w:szCs w:val="22"/>
              <w:rtl/>
            </w:rPr>
            <w:tab/>
          </w:r>
          <w:hyperlink r:id="rId5" w:history="1">
            <w:r>
              <w:rPr>
                <w:rStyle w:val="Hyperlink"/>
                <w:rFonts w:ascii="Calibri" w:hAnsi="Calibri" w:cs="Calibri"/>
                <w:color w:val="0563C1"/>
                <w:sz w:val="22"/>
                <w:szCs w:val="22"/>
              </w:rPr>
              <w:t>Pamercal@mof.gov.il</w:t>
            </w:r>
          </w:hyperlink>
        </w:p>
      </w:tc>
    </w:tr>
  </w:tbl>
  <w:p w14:paraId="02CDFDE1" w14:textId="77777777" w:rsidR="0022663B" w:rsidRPr="00EB73B6" w:rsidRDefault="0022663B" w:rsidP="00F3183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A4E7" w14:textId="77777777" w:rsidR="00A11BD4" w:rsidRDefault="00A11BD4" w:rsidP="00B8755D">
      <w:pPr>
        <w:spacing w:before="0" w:after="0" w:line="240" w:lineRule="auto"/>
      </w:pPr>
      <w:r>
        <w:separator/>
      </w:r>
    </w:p>
  </w:footnote>
  <w:footnote w:type="continuationSeparator" w:id="0">
    <w:p w14:paraId="66065205" w14:textId="77777777" w:rsidR="00A11BD4" w:rsidRDefault="00A11BD4" w:rsidP="00B875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4C0C" w14:textId="77777777" w:rsidR="00EB73B6" w:rsidRDefault="00935391" w:rsidP="00935391">
    <w:pPr>
      <w:pStyle w:val="a8"/>
      <w:tabs>
        <w:tab w:val="left" w:pos="4478"/>
      </w:tabs>
    </w:pPr>
    <w:r>
      <w:rPr>
        <w:noProof/>
        <w:szCs w:val="24"/>
        <w:rtl/>
      </w:rPr>
      <w:drawing>
        <wp:anchor distT="0" distB="0" distL="114300" distR="114300" simplePos="0" relativeHeight="251660287" behindDoc="0" locked="0" layoutInCell="1" allowOverlap="1" wp14:anchorId="4292886D" wp14:editId="0A889D6F">
          <wp:simplePos x="0" y="0"/>
          <wp:positionH relativeFrom="column">
            <wp:posOffset>-1085479</wp:posOffset>
          </wp:positionH>
          <wp:positionV relativeFrom="paragraph">
            <wp:posOffset>-325755</wp:posOffset>
          </wp:positionV>
          <wp:extent cx="7474268" cy="13773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zar-chozrim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4268" cy="1377314"/>
                  </a:xfrm>
                  <a:prstGeom prst="rect">
                    <a:avLst/>
                  </a:prstGeom>
                </pic:spPr>
              </pic:pic>
            </a:graphicData>
          </a:graphic>
          <wp14:sizeRelH relativeFrom="page">
            <wp14:pctWidth>0</wp14:pctWidth>
          </wp14:sizeRelH>
          <wp14:sizeRelV relativeFrom="page">
            <wp14:pctHeight>0</wp14:pctHeight>
          </wp14:sizeRelV>
        </wp:anchor>
      </w:drawing>
    </w:r>
    <w:r w:rsidR="00EB73B6" w:rsidRPr="00663409">
      <w:rPr>
        <w:noProof/>
        <w:szCs w:val="24"/>
      </w:rPr>
      <mc:AlternateContent>
        <mc:Choice Requires="wps">
          <w:drawing>
            <wp:anchor distT="45720" distB="45720" distL="114300" distR="114300" simplePos="0" relativeHeight="251661312" behindDoc="0" locked="0" layoutInCell="1" allowOverlap="1" wp14:anchorId="360C6B04" wp14:editId="15723B11">
              <wp:simplePos x="0" y="0"/>
              <wp:positionH relativeFrom="margin">
                <wp:posOffset>-1039108</wp:posOffset>
              </wp:positionH>
              <wp:positionV relativeFrom="paragraph">
                <wp:posOffset>695657</wp:posOffset>
              </wp:positionV>
              <wp:extent cx="1174115" cy="2787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78765"/>
                      </a:xfrm>
                      <a:prstGeom prst="rect">
                        <a:avLst/>
                      </a:prstGeom>
                      <a:noFill/>
                      <a:ln w="9525">
                        <a:noFill/>
                        <a:miter lim="800000"/>
                        <a:headEnd/>
                        <a:tailEnd/>
                      </a:ln>
                    </wps:spPr>
                    <wps:txbx>
                      <w:txbxContent>
                        <w:p w14:paraId="1581164A" w14:textId="0CAD8DD3" w:rsidR="00EB73B6" w:rsidRPr="00EB73B6" w:rsidRDefault="00BA4046" w:rsidP="00EB73B6">
                          <w:pPr>
                            <w:spacing w:before="0"/>
                            <w:jc w:val="left"/>
                            <w:rPr>
                              <w:sz w:val="26"/>
                            </w:rPr>
                          </w:pPr>
                          <w:r>
                            <w:rPr>
                              <w:rtl/>
                            </w:rPr>
                            <w:t>2026-4-1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C6B04" id="_x0000_t202" coordsize="21600,21600" o:spt="202" path="m,l,21600r21600,l21600,xe">
              <v:stroke joinstyle="miter"/>
              <v:path gradientshapeok="t" o:connecttype="rect"/>
            </v:shapetype>
            <v:shape id="Text Box 2" o:spid="_x0000_s1026" type="#_x0000_t202" style="position:absolute;left:0;text-align:left;margin-left:-81.8pt;margin-top:54.8pt;width:92.45pt;height:21.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i+CgIAAPIDAAAOAAAAZHJzL2Uyb0RvYy54bWysU9tu2zAMfR+wfxD0vviCpEmNKEXXrsOA&#10;7gK0+wBFlmNhkqhJSuzs60fJaRpsb8P8IIgmechzSK1vRqPJQfqgwDJazUpKpBXQKrtj9Pvzw7sV&#10;JSFy23INVjJ6lIHebN6+WQ+ukTX0oFvpCYLY0AyO0T5G1xRFEL00PMzASYvODrzhEU2/K1rPB0Q3&#10;uqjL8qoYwLfOg5Ah4N/7yUk3Gb/rpIhfuy7ISDSj2FvMp8/nNp3FZs2bneeuV+LUBv+HLgxXFoue&#10;oe555GTv1V9QRgkPAbo4E2AK6DolZOaAbKryDzZPPXcyc0FxgjvLFP4frPhy+OaJahmtKbHc4Iie&#10;5RjJexhJndQZXGgw6MlhWBzxN045Mw3uEcSPQCzc9dzu5K33MPSSt9hdlTKLi9QJJySQ7fAZWizD&#10;9xEy0Nh5k6RDMQii45SO58mkVkQqWS3nVbWgRKCvXq6WV4tcgjcv2c6H+FGCIenCqMfJZ3R+eAwx&#10;dcObl5BUzMKD0jpPX1syMHq9qBc54cJjVMTl1MowuirTN61LIvnBtjk5cqWnOxbQ9sQ6EZ0ox3E7&#10;YmCSYgvtEfl7mJYQHw1eevC/KBlwARkNP/fcS0r0J4saXlfzedrYbMwXyxoNf+nZXnq4FQjFaKRk&#10;ut7FvOUT11vUulNZhtdOTr3iYmV1To8gbe6lnaNen+rmNwAAAP//AwBQSwMEFAAGAAgAAAAhAJU/&#10;9tTeAAAACwEAAA8AAABkcnMvZG93bnJldi54bWxMj0FPwzAMhe9I/IfISNy2pCutWGk6IRBXEAMm&#10;7ZY1XlvROFWTreXfY07sZvs9PX+v3MyuF2ccQ+dJQ7JUIJBqbztqNHx+vCzuQYRoyJreE2r4wQCb&#10;6vqqNIX1E73jeRsbwSEUCqOhjXEopAx1i86EpR+QWDv60ZnI69hIO5qJw10vV0rl0pmO+ENrBnxq&#10;sf7enpyGr9fjfnen3ppnlw2Tn5Ukt5Za397Mjw8gIs7x3wx/+IwOFTMd/IlsEL2GRZKnOXtZUWse&#10;2LJKUhAHPmRpBrIq5WWH6hcAAP//AwBQSwECLQAUAAYACAAAACEAtoM4kv4AAADhAQAAEwAAAAAA&#10;AAAAAAAAAAAAAAAAW0NvbnRlbnRfVHlwZXNdLnhtbFBLAQItABQABgAIAAAAIQA4/SH/1gAAAJQB&#10;AAALAAAAAAAAAAAAAAAAAC8BAABfcmVscy8ucmVsc1BLAQItABQABgAIAAAAIQCNifi+CgIAAPID&#10;AAAOAAAAAAAAAAAAAAAAAC4CAABkcnMvZTJvRG9jLnhtbFBLAQItABQABgAIAAAAIQCVP/bU3gAA&#10;AAsBAAAPAAAAAAAAAAAAAAAAAGQEAABkcnMvZG93bnJldi54bWxQSwUGAAAAAAQABADzAAAAbwUA&#10;AAAA&#10;" filled="f" stroked="f">
              <v:textbox>
                <w:txbxContent>
                  <w:p w14:paraId="1581164A" w14:textId="0CAD8DD3" w:rsidR="00EB73B6" w:rsidRPr="00EB73B6" w:rsidRDefault="00BA4046" w:rsidP="00EB73B6">
                    <w:pPr>
                      <w:spacing w:before="0"/>
                      <w:jc w:val="left"/>
                      <w:rPr>
                        <w:sz w:val="26"/>
                      </w:rPr>
                    </w:pPr>
                    <w:r>
                      <w:rPr>
                        <w:rtl/>
                      </w:rPr>
                      <w:t>2026-4-1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797"/>
    <w:multiLevelType w:val="multilevel"/>
    <w:tmpl w:val="CB2CFB36"/>
    <w:numStyleLink w:val="-"/>
  </w:abstractNum>
  <w:abstractNum w:abstractNumId="1"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90D37"/>
    <w:multiLevelType w:val="multilevel"/>
    <w:tmpl w:val="2C7611E6"/>
    <w:numStyleLink w:val="-0"/>
  </w:abstractNum>
  <w:abstractNum w:abstractNumId="4" w15:restartNumberingAfterBreak="0">
    <w:nsid w:val="477D4CEE"/>
    <w:multiLevelType w:val="multilevel"/>
    <w:tmpl w:val="2C7611E6"/>
    <w:numStyleLink w:val="-0"/>
  </w:abstractNum>
  <w:abstractNum w:abstractNumId="5" w15:restartNumberingAfterBreak="0">
    <w:nsid w:val="4E111C76"/>
    <w:multiLevelType w:val="multilevel"/>
    <w:tmpl w:val="E6EA53A6"/>
    <w:lvl w:ilvl="0">
      <w:start w:val="1"/>
      <w:numFmt w:val="decimal"/>
      <w:lvlText w:val="%1."/>
      <w:lvlJc w:val="left"/>
      <w:pPr>
        <w:tabs>
          <w:tab w:val="num" w:pos="1080"/>
        </w:tabs>
        <w:ind w:left="1080" w:hanging="720"/>
      </w:pPr>
      <w:rPr>
        <w:rFonts w:hint="default"/>
        <w:b/>
        <w:bCs/>
        <w:lang w:val="en-US"/>
      </w:rPr>
    </w:lvl>
    <w:lvl w:ilvl="1">
      <w:start w:val="1"/>
      <w:numFmt w:val="hebrew1"/>
      <w:lvlText w:val="%2."/>
      <w:lvlJc w:val="center"/>
      <w:pPr>
        <w:tabs>
          <w:tab w:val="num" w:pos="1275"/>
        </w:tabs>
        <w:ind w:left="1275" w:hanging="375"/>
      </w:pPr>
      <w:rPr>
        <w:b w:val="0"/>
        <w:bCs w:val="0"/>
        <w:sz w:val="26"/>
        <w:szCs w:val="26"/>
        <w:lang w:bidi="he-IL"/>
      </w:rPr>
    </w:lvl>
    <w:lvl w:ilvl="2">
      <w:start w:val="1"/>
      <w:numFmt w:val="decimal"/>
      <w:isLgl/>
      <w:lvlText w:val="%1.%2.%3"/>
      <w:lvlJc w:val="left"/>
      <w:pPr>
        <w:tabs>
          <w:tab w:val="num" w:pos="2520"/>
        </w:tabs>
        <w:ind w:left="2520" w:hanging="720"/>
      </w:pPr>
      <w:rPr>
        <w:rFonts w:hint="default"/>
        <w:lang w:bidi="he-IL"/>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6" w15:restartNumberingAfterBreak="0">
    <w:nsid w:val="52C63965"/>
    <w:multiLevelType w:val="multilevel"/>
    <w:tmpl w:val="CB2CFB36"/>
    <w:numStyleLink w:val="-"/>
  </w:abstractNum>
  <w:abstractNum w:abstractNumId="7" w15:restartNumberingAfterBreak="0">
    <w:nsid w:val="5B04746A"/>
    <w:multiLevelType w:val="hybridMultilevel"/>
    <w:tmpl w:val="8A84721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8"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16cid:durableId="1498303233">
    <w:abstractNumId w:val="3"/>
  </w:num>
  <w:num w:numId="2" w16cid:durableId="957759188">
    <w:abstractNumId w:val="8"/>
  </w:num>
  <w:num w:numId="3" w16cid:durableId="920871456">
    <w:abstractNumId w:val="1"/>
  </w:num>
  <w:num w:numId="4" w16cid:durableId="1002048660">
    <w:abstractNumId w:val="2"/>
  </w:num>
  <w:num w:numId="5" w16cid:durableId="207956556">
    <w:abstractNumId w:val="0"/>
  </w:num>
  <w:num w:numId="6" w16cid:durableId="271011811">
    <w:abstractNumId w:val="4"/>
  </w:num>
  <w:num w:numId="7" w16cid:durableId="780879615">
    <w:abstractNumId w:val="6"/>
  </w:num>
  <w:num w:numId="8" w16cid:durableId="826828438">
    <w:abstractNumId w:val="5"/>
  </w:num>
  <w:num w:numId="9" w16cid:durableId="1879272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5D"/>
    <w:rsid w:val="00014182"/>
    <w:rsid w:val="00047C97"/>
    <w:rsid w:val="000520B7"/>
    <w:rsid w:val="000568CE"/>
    <w:rsid w:val="00063A55"/>
    <w:rsid w:val="00066383"/>
    <w:rsid w:val="00093B9D"/>
    <w:rsid w:val="000B2A61"/>
    <w:rsid w:val="000C04AE"/>
    <w:rsid w:val="000E6098"/>
    <w:rsid w:val="000E632C"/>
    <w:rsid w:val="000F691B"/>
    <w:rsid w:val="0010326C"/>
    <w:rsid w:val="001611C6"/>
    <w:rsid w:val="00164B30"/>
    <w:rsid w:val="001808A9"/>
    <w:rsid w:val="00180A93"/>
    <w:rsid w:val="0018292D"/>
    <w:rsid w:val="00197056"/>
    <w:rsid w:val="001A7C42"/>
    <w:rsid w:val="001B4B81"/>
    <w:rsid w:val="001C1B46"/>
    <w:rsid w:val="001C4F6D"/>
    <w:rsid w:val="001D55DD"/>
    <w:rsid w:val="001E548A"/>
    <w:rsid w:val="00224F04"/>
    <w:rsid w:val="0022663B"/>
    <w:rsid w:val="00275887"/>
    <w:rsid w:val="00283ABF"/>
    <w:rsid w:val="00283C7C"/>
    <w:rsid w:val="00285AFF"/>
    <w:rsid w:val="002A54A3"/>
    <w:rsid w:val="002A7FEA"/>
    <w:rsid w:val="002D3716"/>
    <w:rsid w:val="002D7789"/>
    <w:rsid w:val="002E38F4"/>
    <w:rsid w:val="002F197C"/>
    <w:rsid w:val="002F3EB1"/>
    <w:rsid w:val="00325E01"/>
    <w:rsid w:val="00361114"/>
    <w:rsid w:val="0037480D"/>
    <w:rsid w:val="003840FE"/>
    <w:rsid w:val="00385674"/>
    <w:rsid w:val="00393C6A"/>
    <w:rsid w:val="003A1D7A"/>
    <w:rsid w:val="003B3C40"/>
    <w:rsid w:val="003B7F8D"/>
    <w:rsid w:val="003C3A5C"/>
    <w:rsid w:val="003C7BC8"/>
    <w:rsid w:val="003F1396"/>
    <w:rsid w:val="0040055E"/>
    <w:rsid w:val="0040768C"/>
    <w:rsid w:val="00423D6A"/>
    <w:rsid w:val="00426E0E"/>
    <w:rsid w:val="004323EF"/>
    <w:rsid w:val="004410DE"/>
    <w:rsid w:val="0044663B"/>
    <w:rsid w:val="00451F2E"/>
    <w:rsid w:val="004523EB"/>
    <w:rsid w:val="00452D7A"/>
    <w:rsid w:val="004C127D"/>
    <w:rsid w:val="004C5538"/>
    <w:rsid w:val="004D59C3"/>
    <w:rsid w:val="004D65A1"/>
    <w:rsid w:val="004E479D"/>
    <w:rsid w:val="004F3773"/>
    <w:rsid w:val="005028F9"/>
    <w:rsid w:val="00505B19"/>
    <w:rsid w:val="00505D36"/>
    <w:rsid w:val="00515321"/>
    <w:rsid w:val="00515E5C"/>
    <w:rsid w:val="0051700E"/>
    <w:rsid w:val="00534452"/>
    <w:rsid w:val="005371D8"/>
    <w:rsid w:val="00541DB6"/>
    <w:rsid w:val="00542035"/>
    <w:rsid w:val="00556BE2"/>
    <w:rsid w:val="00571276"/>
    <w:rsid w:val="00571A71"/>
    <w:rsid w:val="005A731B"/>
    <w:rsid w:val="005D42E4"/>
    <w:rsid w:val="005E5EC9"/>
    <w:rsid w:val="00600BFA"/>
    <w:rsid w:val="00600F1F"/>
    <w:rsid w:val="00601D8B"/>
    <w:rsid w:val="00602DAD"/>
    <w:rsid w:val="00616045"/>
    <w:rsid w:val="00623CCF"/>
    <w:rsid w:val="006273C3"/>
    <w:rsid w:val="006309B0"/>
    <w:rsid w:val="0066664E"/>
    <w:rsid w:val="00692C69"/>
    <w:rsid w:val="006952CA"/>
    <w:rsid w:val="006A13C9"/>
    <w:rsid w:val="006A2503"/>
    <w:rsid w:val="006A5446"/>
    <w:rsid w:val="006B352E"/>
    <w:rsid w:val="006C55AF"/>
    <w:rsid w:val="006C5DFF"/>
    <w:rsid w:val="006D0744"/>
    <w:rsid w:val="006D686D"/>
    <w:rsid w:val="006D7041"/>
    <w:rsid w:val="006E5942"/>
    <w:rsid w:val="007044C3"/>
    <w:rsid w:val="00706164"/>
    <w:rsid w:val="00723886"/>
    <w:rsid w:val="00734B4B"/>
    <w:rsid w:val="00735D55"/>
    <w:rsid w:val="007427EF"/>
    <w:rsid w:val="00743847"/>
    <w:rsid w:val="0074770C"/>
    <w:rsid w:val="00751B50"/>
    <w:rsid w:val="00757313"/>
    <w:rsid w:val="00757879"/>
    <w:rsid w:val="007611DA"/>
    <w:rsid w:val="0078090D"/>
    <w:rsid w:val="0078789E"/>
    <w:rsid w:val="00793E5C"/>
    <w:rsid w:val="00795D5A"/>
    <w:rsid w:val="007A373A"/>
    <w:rsid w:val="007D4118"/>
    <w:rsid w:val="007E2692"/>
    <w:rsid w:val="007E64AC"/>
    <w:rsid w:val="0080160A"/>
    <w:rsid w:val="0082739B"/>
    <w:rsid w:val="00851D4A"/>
    <w:rsid w:val="00864DB3"/>
    <w:rsid w:val="00867AE5"/>
    <w:rsid w:val="00870D8A"/>
    <w:rsid w:val="0089204F"/>
    <w:rsid w:val="008B39D7"/>
    <w:rsid w:val="008E77BE"/>
    <w:rsid w:val="009014E3"/>
    <w:rsid w:val="0090629A"/>
    <w:rsid w:val="00910BC9"/>
    <w:rsid w:val="00915C9A"/>
    <w:rsid w:val="00915FC2"/>
    <w:rsid w:val="00935391"/>
    <w:rsid w:val="00935E81"/>
    <w:rsid w:val="009418A0"/>
    <w:rsid w:val="009576D4"/>
    <w:rsid w:val="00974D46"/>
    <w:rsid w:val="00986444"/>
    <w:rsid w:val="00990A24"/>
    <w:rsid w:val="0099173E"/>
    <w:rsid w:val="009A1B50"/>
    <w:rsid w:val="009B64FE"/>
    <w:rsid w:val="009D2279"/>
    <w:rsid w:val="009D3F2B"/>
    <w:rsid w:val="009E52B5"/>
    <w:rsid w:val="009F7F7A"/>
    <w:rsid w:val="00A07C5D"/>
    <w:rsid w:val="00A101F8"/>
    <w:rsid w:val="00A11BD4"/>
    <w:rsid w:val="00A15876"/>
    <w:rsid w:val="00A15D5D"/>
    <w:rsid w:val="00A30921"/>
    <w:rsid w:val="00A31893"/>
    <w:rsid w:val="00A5751E"/>
    <w:rsid w:val="00A67A4F"/>
    <w:rsid w:val="00A7396A"/>
    <w:rsid w:val="00A73972"/>
    <w:rsid w:val="00A84333"/>
    <w:rsid w:val="00A84658"/>
    <w:rsid w:val="00A972D3"/>
    <w:rsid w:val="00AA4752"/>
    <w:rsid w:val="00AA7166"/>
    <w:rsid w:val="00AB4D4F"/>
    <w:rsid w:val="00AC0823"/>
    <w:rsid w:val="00AC4D42"/>
    <w:rsid w:val="00AD0167"/>
    <w:rsid w:val="00AF1C47"/>
    <w:rsid w:val="00B03E2B"/>
    <w:rsid w:val="00B041F7"/>
    <w:rsid w:val="00B22087"/>
    <w:rsid w:val="00B311D4"/>
    <w:rsid w:val="00B3785A"/>
    <w:rsid w:val="00B429D7"/>
    <w:rsid w:val="00B60EE6"/>
    <w:rsid w:val="00B67385"/>
    <w:rsid w:val="00B8755D"/>
    <w:rsid w:val="00B91214"/>
    <w:rsid w:val="00B93390"/>
    <w:rsid w:val="00B93A25"/>
    <w:rsid w:val="00BA4046"/>
    <w:rsid w:val="00BB00B8"/>
    <w:rsid w:val="00BB393A"/>
    <w:rsid w:val="00BD67E7"/>
    <w:rsid w:val="00C01906"/>
    <w:rsid w:val="00C171DC"/>
    <w:rsid w:val="00C27AC8"/>
    <w:rsid w:val="00C37F33"/>
    <w:rsid w:val="00C50727"/>
    <w:rsid w:val="00C62C9B"/>
    <w:rsid w:val="00C84ABA"/>
    <w:rsid w:val="00C912F8"/>
    <w:rsid w:val="00CA61AF"/>
    <w:rsid w:val="00CB40A4"/>
    <w:rsid w:val="00CC356E"/>
    <w:rsid w:val="00CD6DB8"/>
    <w:rsid w:val="00CE0517"/>
    <w:rsid w:val="00CF44BB"/>
    <w:rsid w:val="00D13CCC"/>
    <w:rsid w:val="00D15BCF"/>
    <w:rsid w:val="00D33979"/>
    <w:rsid w:val="00D37442"/>
    <w:rsid w:val="00D61AC3"/>
    <w:rsid w:val="00D66453"/>
    <w:rsid w:val="00D731DA"/>
    <w:rsid w:val="00D969C1"/>
    <w:rsid w:val="00DA200B"/>
    <w:rsid w:val="00DA54F8"/>
    <w:rsid w:val="00DB6C3D"/>
    <w:rsid w:val="00DC75C9"/>
    <w:rsid w:val="00DD5320"/>
    <w:rsid w:val="00DE069A"/>
    <w:rsid w:val="00DE222E"/>
    <w:rsid w:val="00DE7CC8"/>
    <w:rsid w:val="00DF73FF"/>
    <w:rsid w:val="00E41B31"/>
    <w:rsid w:val="00E45B6D"/>
    <w:rsid w:val="00E5477F"/>
    <w:rsid w:val="00E56588"/>
    <w:rsid w:val="00E849EC"/>
    <w:rsid w:val="00E9300E"/>
    <w:rsid w:val="00E95EEF"/>
    <w:rsid w:val="00EA6729"/>
    <w:rsid w:val="00EB73B6"/>
    <w:rsid w:val="00EC303E"/>
    <w:rsid w:val="00EF3013"/>
    <w:rsid w:val="00EF5545"/>
    <w:rsid w:val="00EF71D7"/>
    <w:rsid w:val="00F00D41"/>
    <w:rsid w:val="00F0592A"/>
    <w:rsid w:val="00F25ABF"/>
    <w:rsid w:val="00F31839"/>
    <w:rsid w:val="00F42455"/>
    <w:rsid w:val="00F509E4"/>
    <w:rsid w:val="00F74EF7"/>
    <w:rsid w:val="00F80DA7"/>
    <w:rsid w:val="00F866DE"/>
    <w:rsid w:val="00F868B1"/>
    <w:rsid w:val="00F975CB"/>
    <w:rsid w:val="00FE3193"/>
    <w:rsid w:val="00FE3F33"/>
    <w:rsid w:val="00FF5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460FF"/>
  <w15:chartTrackingRefBased/>
  <w15:docId w15:val="{2601F3A1-44A3-48D0-9711-441A97CC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823"/>
    <w:pPr>
      <w:bidi/>
      <w:spacing w:before="120" w:after="120" w:line="360" w:lineRule="auto"/>
      <w:jc w:val="both"/>
    </w:pPr>
    <w:rPr>
      <w:rFonts w:ascii="Times New Roman" w:hAnsi="Times New Roman" w:cs="FrankRuehl"/>
      <w:sz w:val="24"/>
      <w:szCs w:val="26"/>
    </w:rPr>
  </w:style>
  <w:style w:type="paragraph" w:styleId="1">
    <w:name w:val="heading 1"/>
    <w:basedOn w:val="a"/>
    <w:next w:val="a"/>
    <w:link w:val="10"/>
    <w:uiPriority w:val="9"/>
    <w:qFormat/>
    <w:rsid w:val="003A1D7A"/>
    <w:pPr>
      <w:widowControl w:val="0"/>
      <w:spacing w:after="0"/>
      <w:outlineLvl w:val="0"/>
    </w:pPr>
    <w:rPr>
      <w:b/>
      <w:bCs/>
      <w:caps/>
      <w:spacing w:val="15"/>
      <w:sz w:val="36"/>
      <w:szCs w:val="36"/>
    </w:rPr>
  </w:style>
  <w:style w:type="paragraph" w:styleId="2">
    <w:name w:val="heading 2"/>
    <w:basedOn w:val="a"/>
    <w:next w:val="a"/>
    <w:link w:val="20"/>
    <w:uiPriority w:val="9"/>
    <w:unhideWhenUsed/>
    <w:qFormat/>
    <w:rsid w:val="003A1D7A"/>
    <w:pPr>
      <w:widowControl w:val="0"/>
      <w:spacing w:after="0"/>
      <w:outlineLvl w:val="1"/>
    </w:pPr>
    <w:rPr>
      <w:b/>
      <w:bCs/>
      <w:caps/>
      <w:spacing w:val="15"/>
      <w:sz w:val="32"/>
      <w:szCs w:val="32"/>
    </w:rPr>
  </w:style>
  <w:style w:type="paragraph" w:styleId="3">
    <w:name w:val="heading 3"/>
    <w:basedOn w:val="a"/>
    <w:next w:val="a"/>
    <w:link w:val="30"/>
    <w:uiPriority w:val="9"/>
    <w:unhideWhenUsed/>
    <w:qFormat/>
    <w:rsid w:val="001611C6"/>
    <w:pPr>
      <w:widowControl w:val="0"/>
      <w:bidi w:val="0"/>
      <w:spacing w:before="300" w:after="0"/>
      <w:outlineLvl w:val="2"/>
    </w:pPr>
    <w:rPr>
      <w:bCs/>
      <w:caps/>
      <w:spacing w:val="15"/>
      <w:sz w:val="28"/>
      <w:szCs w:val="28"/>
    </w:rPr>
  </w:style>
  <w:style w:type="paragraph" w:styleId="4">
    <w:name w:val="heading 4"/>
    <w:basedOn w:val="a"/>
    <w:next w:val="a"/>
    <w:link w:val="40"/>
    <w:uiPriority w:val="9"/>
    <w:unhideWhenUsed/>
    <w:qFormat/>
    <w:rsid w:val="003A1D7A"/>
    <w:pPr>
      <w:bidi w:val="0"/>
      <w:spacing w:before="300" w:after="0"/>
      <w:outlineLvl w:val="3"/>
    </w:pPr>
    <w:rPr>
      <w:b/>
      <w:bCs/>
      <w:caps/>
      <w:spacing w:val="10"/>
    </w:rPr>
  </w:style>
  <w:style w:type="paragraph" w:styleId="5">
    <w:name w:val="heading 5"/>
    <w:basedOn w:val="a"/>
    <w:next w:val="a"/>
    <w:link w:val="50"/>
    <w:uiPriority w:val="9"/>
    <w:unhideWhenUsed/>
    <w:qFormat/>
    <w:rsid w:val="003A1D7A"/>
    <w:pPr>
      <w:widowControl w:val="0"/>
      <w:bidi w:val="0"/>
      <w:spacing w:before="300" w:after="0"/>
      <w:outlineLvl w:val="4"/>
    </w:pPr>
    <w:rPr>
      <w:b/>
      <w:bCs/>
      <w:caps/>
      <w:spacing w:val="10"/>
    </w:rPr>
  </w:style>
  <w:style w:type="paragraph" w:styleId="6">
    <w:name w:val="heading 6"/>
    <w:basedOn w:val="a"/>
    <w:next w:val="a"/>
    <w:link w:val="60"/>
    <w:uiPriority w:val="9"/>
    <w:unhideWhenUsed/>
    <w:qFormat/>
    <w:rsid w:val="00066383"/>
    <w:pPr>
      <w:widowControl w:val="0"/>
      <w:bidi w:val="0"/>
      <w:spacing w:before="300" w:after="0"/>
      <w:outlineLvl w:val="5"/>
    </w:pPr>
    <w:rPr>
      <w:b/>
      <w:bCs/>
      <w:caps/>
      <w:spacing w:val="10"/>
    </w:rPr>
  </w:style>
  <w:style w:type="paragraph" w:styleId="7">
    <w:name w:val="heading 7"/>
    <w:basedOn w:val="a"/>
    <w:next w:val="a"/>
    <w:link w:val="70"/>
    <w:uiPriority w:val="9"/>
    <w:unhideWhenUsed/>
    <w:qFormat/>
    <w:rsid w:val="003A1D7A"/>
    <w:pPr>
      <w:widowControl w:val="0"/>
      <w:bidi w:val="0"/>
      <w:spacing w:before="300" w:after="0"/>
      <w:outlineLvl w:val="6"/>
    </w:pPr>
    <w:rPr>
      <w:b/>
      <w:bCs/>
      <w:caps/>
      <w:spacing w:val="10"/>
    </w:rPr>
  </w:style>
  <w:style w:type="paragraph" w:styleId="8">
    <w:name w:val="heading 8"/>
    <w:basedOn w:val="a"/>
    <w:next w:val="a"/>
    <w:link w:val="80"/>
    <w:uiPriority w:val="9"/>
    <w:semiHidden/>
    <w:unhideWhenUsed/>
    <w:qFormat/>
    <w:rsid w:val="00014182"/>
    <w:pPr>
      <w:bidi w:val="0"/>
      <w:spacing w:before="300" w:after="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line="240" w:lineRule="auto"/>
      <w:ind w:left="482"/>
    </w:pPr>
  </w:style>
  <w:style w:type="paragraph" w:styleId="TOC1">
    <w:name w:val="toc 1"/>
    <w:basedOn w:val="a"/>
    <w:next w:val="a"/>
    <w:autoRedefine/>
    <w:uiPriority w:val="39"/>
    <w:unhideWhenUsed/>
    <w:rsid w:val="00600BFA"/>
    <w:pPr>
      <w:widowControl w:val="0"/>
      <w:tabs>
        <w:tab w:val="right" w:leader="dot" w:pos="8296"/>
      </w:tabs>
      <w:spacing w:before="100" w:after="100" w:line="240" w:lineRule="auto"/>
    </w:pPr>
  </w:style>
  <w:style w:type="paragraph" w:styleId="TOC2">
    <w:name w:val="toc 2"/>
    <w:basedOn w:val="a"/>
    <w:next w:val="a"/>
    <w:autoRedefine/>
    <w:uiPriority w:val="39"/>
    <w:unhideWhenUsed/>
    <w:rsid w:val="00600BFA"/>
    <w:pPr>
      <w:widowControl w:val="0"/>
      <w:tabs>
        <w:tab w:val="right" w:leader="dot" w:pos="8296"/>
      </w:tabs>
      <w:spacing w:before="100" w:after="100" w:line="240" w:lineRule="auto"/>
      <w:ind w:left="238"/>
    </w:pPr>
  </w:style>
  <w:style w:type="paragraph" w:styleId="TOC7">
    <w:name w:val="toc 7"/>
    <w:basedOn w:val="a"/>
    <w:next w:val="a"/>
    <w:autoRedefine/>
    <w:uiPriority w:val="39"/>
    <w:unhideWhenUsed/>
    <w:rsid w:val="00600BFA"/>
    <w:pPr>
      <w:widowControl w:val="0"/>
      <w:tabs>
        <w:tab w:val="right" w:leader="dot" w:pos="8296"/>
      </w:tabs>
      <w:spacing w:before="100" w:after="100" w:line="240" w:lineRule="auto"/>
      <w:ind w:left="1440"/>
    </w:pPr>
  </w:style>
  <w:style w:type="paragraph" w:styleId="TOC6">
    <w:name w:val="toc 6"/>
    <w:basedOn w:val="a"/>
    <w:next w:val="a"/>
    <w:autoRedefine/>
    <w:uiPriority w:val="39"/>
    <w:unhideWhenUsed/>
    <w:rsid w:val="00600BFA"/>
    <w:pPr>
      <w:widowControl w:val="0"/>
      <w:tabs>
        <w:tab w:val="right" w:leader="dot" w:pos="8296"/>
      </w:tabs>
      <w:spacing w:before="100" w:after="100" w:line="240" w:lineRule="auto"/>
      <w:ind w:left="1202"/>
      <w:contextualSpacing/>
    </w:pPr>
  </w:style>
  <w:style w:type="paragraph" w:styleId="TOC5">
    <w:name w:val="toc 5"/>
    <w:basedOn w:val="a"/>
    <w:next w:val="a"/>
    <w:autoRedefine/>
    <w:uiPriority w:val="39"/>
    <w:unhideWhenUsed/>
    <w:rsid w:val="00600BFA"/>
    <w:pPr>
      <w:widowControl w:val="0"/>
      <w:tabs>
        <w:tab w:val="right" w:leader="dot" w:pos="8296"/>
      </w:tabs>
      <w:spacing w:before="100" w:after="100" w:line="240" w:lineRule="auto"/>
      <w:ind w:left="958"/>
    </w:pPr>
  </w:style>
  <w:style w:type="paragraph" w:styleId="TOC4">
    <w:name w:val="toc 4"/>
    <w:basedOn w:val="a"/>
    <w:next w:val="a"/>
    <w:autoRedefine/>
    <w:uiPriority w:val="39"/>
    <w:unhideWhenUsed/>
    <w:rsid w:val="00600BFA"/>
    <w:pPr>
      <w:widowControl w:val="0"/>
      <w:spacing w:before="100" w:after="100" w:line="240" w:lineRule="auto"/>
      <w:ind w:left="720"/>
    </w:pPr>
  </w:style>
  <w:style w:type="paragraph" w:styleId="a7">
    <w:name w:val="List Paragraph"/>
    <w:basedOn w:val="a"/>
    <w:uiPriority w:val="34"/>
    <w:qFormat/>
    <w:rsid w:val="00FE3193"/>
    <w:pPr>
      <w:ind w:left="720"/>
      <w:contextualSpacing/>
    </w:p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uiPriority w:val="99"/>
    <w:unhideWhenUsed/>
    <w:rsid w:val="00B8755D"/>
    <w:pPr>
      <w:tabs>
        <w:tab w:val="center" w:pos="4153"/>
        <w:tab w:val="right" w:pos="8306"/>
      </w:tabs>
      <w:spacing w:before="0" w:after="0" w:line="240" w:lineRule="auto"/>
    </w:pPr>
  </w:style>
  <w:style w:type="character" w:customStyle="1" w:styleId="a9">
    <w:name w:val="כותרת עליונה תו"/>
    <w:basedOn w:val="a0"/>
    <w:link w:val="a8"/>
    <w:uiPriority w:val="99"/>
    <w:rsid w:val="00B8755D"/>
    <w:rPr>
      <w:rFonts w:ascii="Times New Roman" w:hAnsi="Times New Roman" w:cs="FrankRuehl"/>
      <w:sz w:val="24"/>
      <w:szCs w:val="26"/>
    </w:rPr>
  </w:style>
  <w:style w:type="paragraph" w:styleId="aa">
    <w:name w:val="footer"/>
    <w:basedOn w:val="a"/>
    <w:link w:val="ab"/>
    <w:uiPriority w:val="99"/>
    <w:unhideWhenUsed/>
    <w:rsid w:val="00B8755D"/>
    <w:pPr>
      <w:tabs>
        <w:tab w:val="center" w:pos="4153"/>
        <w:tab w:val="right" w:pos="8306"/>
      </w:tabs>
      <w:spacing w:before="0" w:after="0" w:line="240" w:lineRule="auto"/>
    </w:pPr>
  </w:style>
  <w:style w:type="character" w:customStyle="1" w:styleId="ab">
    <w:name w:val="כותרת תחתונה תו"/>
    <w:basedOn w:val="a0"/>
    <w:link w:val="aa"/>
    <w:uiPriority w:val="99"/>
    <w:rsid w:val="00B8755D"/>
    <w:rPr>
      <w:rFonts w:ascii="Times New Roman" w:hAnsi="Times New Roman" w:cs="FrankRuehl"/>
      <w:sz w:val="24"/>
      <w:szCs w:val="26"/>
    </w:rPr>
  </w:style>
  <w:style w:type="paragraph" w:styleId="ac">
    <w:name w:val="Balloon Text"/>
    <w:basedOn w:val="a"/>
    <w:link w:val="ad"/>
    <w:uiPriority w:val="99"/>
    <w:semiHidden/>
    <w:unhideWhenUsed/>
    <w:rsid w:val="00DA54F8"/>
    <w:pPr>
      <w:spacing w:before="0" w:after="0" w:line="240" w:lineRule="auto"/>
    </w:pPr>
    <w:rPr>
      <w:rFonts w:ascii="Segoe UI" w:hAnsi="Segoe UI" w:cs="Segoe UI"/>
      <w:sz w:val="18"/>
      <w:szCs w:val="18"/>
    </w:rPr>
  </w:style>
  <w:style w:type="character" w:customStyle="1" w:styleId="ad">
    <w:name w:val="טקסט בלונים תו"/>
    <w:basedOn w:val="a0"/>
    <w:link w:val="ac"/>
    <w:uiPriority w:val="99"/>
    <w:semiHidden/>
    <w:rsid w:val="00DA54F8"/>
    <w:rPr>
      <w:rFonts w:ascii="Segoe UI" w:hAnsi="Segoe UI" w:cs="Segoe UI"/>
      <w:sz w:val="18"/>
      <w:szCs w:val="18"/>
    </w:rPr>
  </w:style>
  <w:style w:type="table" w:styleId="ae">
    <w:name w:val="Table Grid"/>
    <w:basedOn w:val="a1"/>
    <w:uiPriority w:val="59"/>
    <w:rsid w:val="00A07C5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E45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amercal@mof.gov.il" TargetMode="External"/><Relationship Id="rId4" Type="http://schemas.openxmlformats.org/officeDocument/2006/relationships/hyperlink" Target="file:///C:\Users\Sayelet\AppData\Local\Microsoft\Windows\INetCache\Content.Outlook\VBB64JWO\www.hozrimsachar.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18DE0-380D-49EB-A5A3-AE903F88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845</Words>
  <Characters>4225</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 שולומון</dc:creator>
  <cp:keywords/>
  <dc:description/>
  <cp:lastModifiedBy>אורית עמר</cp:lastModifiedBy>
  <cp:revision>2</cp:revision>
  <cp:lastPrinted>2020-01-21T13:31:00Z</cp:lastPrinted>
  <dcterms:created xsi:type="dcterms:W3CDTF">2026-01-22T09:33:00Z</dcterms:created>
  <dcterms:modified xsi:type="dcterms:W3CDTF">2026-01-22T09:33:00Z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notes://MAOR2/Doc/Sachar/SacharHozDoc.nsf/0/123943B2983D15F1C2258D8500312694/?OpenDocument</vt:lpwstr>
  </property>
  <property fmtid="{D5CDD505-2E9C-101B-9397-08002B2CF9AE}" pid="3" name="MaorRecipients0">
    <vt:lpwstr>elibi@mof.gov.il</vt:lpwstr>
  </property>
</Properties>
</file>